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8E2E" w14:textId="6C0C0D78" w:rsidR="008C4BF3" w:rsidRPr="00457617" w:rsidRDefault="00C74471" w:rsidP="008C4BF3">
      <w:pPr>
        <w:spacing w:after="120"/>
        <w:rPr>
          <w:rFonts w:ascii="Arial" w:hAnsi="Arial" w:cs="Arial"/>
          <w:b/>
          <w:color w:val="000000" w:themeColor="text1"/>
          <w:sz w:val="24"/>
          <w:szCs w:val="24"/>
        </w:rPr>
      </w:pPr>
      <w:r>
        <w:rPr>
          <w:rFonts w:ascii="Arial" w:hAnsi="Arial" w:cs="Arial"/>
          <w:b/>
          <w:color w:val="000000" w:themeColor="text1"/>
          <w:sz w:val="24"/>
          <w:szCs w:val="24"/>
        </w:rPr>
        <w:t>Bounce Back</w:t>
      </w:r>
      <w:r w:rsidR="008C4BF3" w:rsidRPr="00457617">
        <w:rPr>
          <w:rFonts w:ascii="Arial" w:hAnsi="Arial" w:cs="Arial"/>
          <w:b/>
          <w:color w:val="000000" w:themeColor="text1"/>
          <w:sz w:val="24"/>
          <w:szCs w:val="24"/>
        </w:rPr>
        <w:t xml:space="preserve"> Loans Due Diligence Questionnaire </w:t>
      </w:r>
      <w:r w:rsidR="006A7F27">
        <w:rPr>
          <w:rFonts w:ascii="Arial" w:hAnsi="Arial" w:cs="Arial"/>
          <w:color w:val="000000" w:themeColor="text1"/>
          <w:szCs w:val="24"/>
        </w:rPr>
        <w:t>September</w:t>
      </w:r>
      <w:r>
        <w:rPr>
          <w:rFonts w:ascii="Arial" w:hAnsi="Arial" w:cs="Arial"/>
          <w:color w:val="000000" w:themeColor="text1"/>
          <w:szCs w:val="24"/>
        </w:rPr>
        <w:t xml:space="preserve"> 2020</w:t>
      </w:r>
      <w:r w:rsidR="008C4BF3" w:rsidRPr="00457617">
        <w:rPr>
          <w:rFonts w:ascii="Arial" w:hAnsi="Arial" w:cs="Arial"/>
          <w:color w:val="000000" w:themeColor="text1"/>
          <w:szCs w:val="24"/>
        </w:rPr>
        <w:t xml:space="preserve"> Version]</w:t>
      </w:r>
    </w:p>
    <w:p w14:paraId="690A5DFD" w14:textId="77777777"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14:paraId="4DC4A699" w14:textId="77777777" w:rsidR="000E16E5" w:rsidRPr="00457617" w:rsidRDefault="000E16E5" w:rsidP="00C86539">
      <w:pPr>
        <w:spacing w:before="120" w:after="120"/>
        <w:rPr>
          <w:rFonts w:ascii="Arial" w:hAnsi="Arial" w:cs="Arial"/>
          <w:b/>
          <w:color w:val="000000" w:themeColor="text1"/>
          <w:sz w:val="4"/>
          <w:szCs w:val="4"/>
        </w:rPr>
      </w:pPr>
    </w:p>
    <w:p w14:paraId="0C3826CF" w14:textId="256DA669"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C74471">
        <w:rPr>
          <w:rFonts w:ascii="Arial" w:hAnsi="Arial" w:cs="Arial"/>
          <w:color w:val="000000" w:themeColor="text1"/>
          <w:szCs w:val="24"/>
        </w:rPr>
        <w:t>Bounce Back Loan Scheme (BBLS)</w:t>
      </w:r>
      <w:r w:rsidR="00C74471" w:rsidRPr="00457617">
        <w:rPr>
          <w:rFonts w:ascii="Arial" w:hAnsi="Arial" w:cs="Arial"/>
          <w:color w:val="000000" w:themeColor="text1"/>
          <w:szCs w:val="24"/>
        </w:rPr>
        <w:t xml:space="preserve"> </w:t>
      </w:r>
      <w:r w:rsidRPr="00457617">
        <w:rPr>
          <w:rFonts w:ascii="Arial" w:hAnsi="Arial" w:cs="Arial"/>
          <w:color w:val="000000" w:themeColor="text1"/>
          <w:szCs w:val="24"/>
        </w:rPr>
        <w:t xml:space="preserve">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14:paraId="613583E7" w14:textId="77777777" w:rsidR="003700B0" w:rsidRPr="009B23EF" w:rsidRDefault="003700B0" w:rsidP="00CB66AE">
      <w:pPr>
        <w:rPr>
          <w:rFonts w:ascii="Arial" w:hAnsi="Arial" w:cs="Arial"/>
          <w:color w:val="000000" w:themeColor="text1"/>
          <w:sz w:val="16"/>
          <w:szCs w:val="24"/>
          <w:u w:val="single"/>
        </w:rPr>
      </w:pPr>
    </w:p>
    <w:p w14:paraId="5D12114E" w14:textId="77777777"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14:paraId="192EB5C1" w14:textId="77777777" w:rsidR="00FB6430" w:rsidRPr="00457617" w:rsidRDefault="00FB6430" w:rsidP="00CB66AE">
      <w:pPr>
        <w:rPr>
          <w:rFonts w:ascii="Arial" w:hAnsi="Arial" w:cs="Arial"/>
          <w:color w:val="000000" w:themeColor="text1"/>
        </w:rPr>
      </w:pPr>
    </w:p>
    <w:p w14:paraId="7517BC48" w14:textId="77777777"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14:paraId="2A9F03A1" w14:textId="77777777"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14:paraId="315AF980" w14:textId="77777777"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14:paraId="0A227E51" w14:textId="77777777" w:rsidR="00314C39" w:rsidRPr="00457617" w:rsidRDefault="00314C39" w:rsidP="00CB66AE">
      <w:pPr>
        <w:rPr>
          <w:rFonts w:ascii="Arial" w:hAnsi="Arial" w:cs="Arial"/>
          <w:color w:val="000000" w:themeColor="text1"/>
          <w:sz w:val="10"/>
          <w:szCs w:val="10"/>
          <w:u w:val="single"/>
        </w:rPr>
      </w:pPr>
    </w:p>
    <w:p w14:paraId="6854A298" w14:textId="77777777"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14:paraId="11EE91C4" w14:textId="77777777" w:rsidR="00FB6430" w:rsidRPr="00457617" w:rsidRDefault="00FB6430" w:rsidP="00CB66AE">
      <w:pPr>
        <w:rPr>
          <w:rFonts w:ascii="Arial" w:hAnsi="Arial" w:cs="Arial"/>
          <w:color w:val="000000" w:themeColor="text1"/>
          <w:sz w:val="6"/>
          <w:szCs w:val="6"/>
        </w:rPr>
      </w:pPr>
    </w:p>
    <w:p w14:paraId="085AB8F0" w14:textId="77777777"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14:paraId="08A94856" w14:textId="77777777"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14:paraId="6148B7BF" w14:textId="77777777"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etc)</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14:paraId="3DBE168B" w14:textId="77777777"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14:paraId="30879256" w14:textId="77777777" w:rsidR="00F55D8F" w:rsidRPr="002151D8" w:rsidRDefault="00F55D8F" w:rsidP="00415B30">
      <w:pPr>
        <w:numPr>
          <w:ilvl w:val="0"/>
          <w:numId w:val="3"/>
        </w:numPr>
        <w:spacing w:after="60" w:line="276" w:lineRule="auto"/>
        <w:ind w:left="714" w:hanging="357"/>
        <w:rPr>
          <w:rFonts w:ascii="Arial" w:hAnsi="Arial"/>
          <w:color w:val="000000" w:themeColor="text1"/>
          <w:highlight w:val="yellow"/>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r w:rsidR="00D975FA">
        <w:rPr>
          <w:rFonts w:ascii="Arial" w:hAnsi="Arial" w:cs="Arial"/>
          <w:color w:val="000000" w:themeColor="text1"/>
        </w:rPr>
        <w:t xml:space="preserve"> </w:t>
      </w:r>
    </w:p>
    <w:p w14:paraId="5C05CD99" w14:textId="77777777"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14:paraId="65AD570C" w14:textId="77777777"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3B557CFC" wp14:editId="59A89A8D">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5DE3"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14:paraId="45F159DA" w14:textId="77777777"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14:paraId="5710C8A6" w14:textId="77777777" w:rsidR="00EB64D4" w:rsidRPr="00E93FC6" w:rsidRDefault="00EB64D4" w:rsidP="00EB64D4">
      <w:pPr>
        <w:rPr>
          <w:rFonts w:ascii="Arial" w:hAnsi="Arial" w:cs="Arial"/>
          <w:color w:val="000000" w:themeColor="text1"/>
          <w:sz w:val="8"/>
          <w:szCs w:val="24"/>
          <w:u w:val="single"/>
        </w:rPr>
      </w:pPr>
    </w:p>
    <w:p w14:paraId="39EE7AF2" w14:textId="77777777"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14:paraId="0CEF6C4F" w14:textId="77777777"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14:paraId="581AD6BC" w14:textId="77777777"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14:paraId="18ACC171" w14:textId="77777777" w:rsidR="00EB64D4" w:rsidRPr="00E93FC6" w:rsidRDefault="00EB64D4" w:rsidP="00F30A70">
      <w:pPr>
        <w:spacing w:after="120"/>
        <w:rPr>
          <w:rFonts w:ascii="Arial" w:hAnsi="Arial" w:cs="Arial"/>
          <w:color w:val="000000" w:themeColor="text1"/>
          <w:sz w:val="4"/>
          <w:szCs w:val="10"/>
          <w:u w:val="single"/>
        </w:rPr>
      </w:pPr>
    </w:p>
    <w:p w14:paraId="3685C90B" w14:textId="77777777"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BoE Collateral Plans</w:t>
      </w:r>
    </w:p>
    <w:p w14:paraId="457E7F4A" w14:textId="77777777"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14:paraId="384A55B7" w14:textId="77777777" w:rsidTr="00850EBA">
        <w:trPr>
          <w:trHeight w:val="548"/>
        </w:trPr>
        <w:tc>
          <w:tcPr>
            <w:tcW w:w="2027" w:type="dxa"/>
            <w:shd w:val="clear" w:color="auto" w:fill="403152" w:themeFill="accent4" w:themeFillShade="80"/>
            <w:vAlign w:val="center"/>
          </w:tcPr>
          <w:p w14:paraId="20E620FD"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14:paraId="378C3AFD" w14:textId="77777777"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14:paraId="19BFD4C7"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14:paraId="6F529A1A"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14:paraId="4EEEC00B"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14:paraId="4F1286CD" w14:textId="77777777" w:rsidTr="00850EBA">
        <w:trPr>
          <w:trHeight w:val="414"/>
        </w:trPr>
        <w:tc>
          <w:tcPr>
            <w:tcW w:w="2027" w:type="dxa"/>
            <w:vAlign w:val="center"/>
          </w:tcPr>
          <w:p w14:paraId="16C720A7"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14:paraId="703C71F8"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14:paraId="59ED25FD"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14:paraId="79D72E27" w14:textId="77777777"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14:paraId="1292D025" w14:textId="77777777" w:rsidTr="00850EBA">
        <w:trPr>
          <w:trHeight w:val="414"/>
        </w:trPr>
        <w:tc>
          <w:tcPr>
            <w:tcW w:w="2027" w:type="dxa"/>
            <w:vAlign w:val="center"/>
          </w:tcPr>
          <w:p w14:paraId="14CA5166"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14:paraId="30A17140"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14:paraId="3C826AC2"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14:paraId="72466B64" w14:textId="77777777"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14:paraId="30E22F81" w14:textId="77777777" w:rsidTr="00850EBA">
        <w:trPr>
          <w:trHeight w:val="414"/>
        </w:trPr>
        <w:tc>
          <w:tcPr>
            <w:tcW w:w="2027" w:type="dxa"/>
            <w:vAlign w:val="center"/>
          </w:tcPr>
          <w:p w14:paraId="2547D5D0"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14:paraId="4FE25325"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14:paraId="389C9054"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14:paraId="6959B0D8" w14:textId="77777777" w:rsidR="00850EBA" w:rsidRPr="00C658C6" w:rsidRDefault="00850EBA" w:rsidP="00C658C6">
            <w:pPr>
              <w:pStyle w:val="FWBL2"/>
              <w:numPr>
                <w:ilvl w:val="0"/>
                <w:numId w:val="0"/>
              </w:numPr>
              <w:spacing w:after="0"/>
              <w:jc w:val="left"/>
              <w:rPr>
                <w:rFonts w:ascii="Arial" w:hAnsi="Arial" w:cs="Arial"/>
                <w:b/>
                <w:color w:val="C00000"/>
                <w:sz w:val="20"/>
              </w:rPr>
            </w:pPr>
          </w:p>
        </w:tc>
      </w:tr>
    </w:tbl>
    <w:p w14:paraId="704523F4" w14:textId="77777777" w:rsidR="00C658C6" w:rsidRPr="00C658C6" w:rsidRDefault="00C658C6" w:rsidP="00C658C6">
      <w:pPr>
        <w:pStyle w:val="FWBL2"/>
        <w:numPr>
          <w:ilvl w:val="0"/>
          <w:numId w:val="0"/>
        </w:numPr>
        <w:ind w:left="993"/>
        <w:rPr>
          <w:rFonts w:ascii="Arial" w:hAnsi="Arial" w:cs="Arial"/>
          <w:color w:val="C00000"/>
          <w:sz w:val="10"/>
          <w:szCs w:val="10"/>
        </w:rPr>
      </w:pPr>
    </w:p>
    <w:p w14:paraId="27813B68" w14:textId="77777777"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14:paraId="23D0D0B0" w14:textId="77777777"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14:paraId="1CE2A37E" w14:textId="4BDBD43F" w:rsidR="00FA0094" w:rsidRPr="00C04D47" w:rsidRDefault="00421272" w:rsidP="00C04D4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505F67" w:rsidRPr="00457617">
        <w:rPr>
          <w:rFonts w:ascii="Arial" w:hAnsi="Arial" w:cs="Arial"/>
          <w:color w:val="000000" w:themeColor="text1"/>
          <w:sz w:val="20"/>
        </w:rPr>
        <w:t xml:space="preserve">funding </w:t>
      </w:r>
      <w:r w:rsidRPr="00457617">
        <w:rPr>
          <w:rFonts w:ascii="Arial" w:hAnsi="Arial" w:cs="Arial"/>
          <w:color w:val="000000" w:themeColor="text1"/>
          <w:sz w:val="20"/>
        </w:rPr>
        <w:t>plans does the Participant have</w:t>
      </w:r>
      <w:r w:rsidR="00FA0094" w:rsidRPr="00457617">
        <w:rPr>
          <w:rFonts w:ascii="Arial" w:hAnsi="Arial" w:cs="Arial"/>
          <w:color w:val="000000" w:themeColor="text1"/>
          <w:sz w:val="20"/>
        </w:rPr>
        <w:t xml:space="preserve"> </w:t>
      </w:r>
      <w:r w:rsidR="00084084" w:rsidRPr="00457617">
        <w:rPr>
          <w:rFonts w:ascii="Arial" w:hAnsi="Arial" w:cs="Arial"/>
          <w:color w:val="000000" w:themeColor="text1"/>
          <w:sz w:val="20"/>
        </w:rPr>
        <w:t>to repay drawings made</w:t>
      </w:r>
      <w:r w:rsidR="00C04D47">
        <w:rPr>
          <w:rFonts w:ascii="Arial" w:hAnsi="Arial" w:cs="Arial"/>
          <w:color w:val="000000" w:themeColor="text1"/>
          <w:sz w:val="20"/>
        </w:rPr>
        <w:t xml:space="preserve"> or planned to be made</w:t>
      </w:r>
      <w:r w:rsidR="00084084" w:rsidRPr="00457617">
        <w:rPr>
          <w:rFonts w:ascii="Arial" w:hAnsi="Arial" w:cs="Arial"/>
          <w:color w:val="000000" w:themeColor="text1"/>
          <w:sz w:val="20"/>
        </w:rPr>
        <w:t xml:space="preserve"> in the</w:t>
      </w:r>
      <w:r w:rsidR="00FA0094" w:rsidRPr="00457617">
        <w:rPr>
          <w:rFonts w:ascii="Arial" w:hAnsi="Arial" w:cs="Arial"/>
          <w:color w:val="000000" w:themeColor="text1"/>
          <w:sz w:val="20"/>
        </w:rPr>
        <w:t xml:space="preserve"> </w:t>
      </w:r>
      <w:r w:rsidR="00C74471" w:rsidRPr="00457617">
        <w:rPr>
          <w:rFonts w:ascii="Arial" w:hAnsi="Arial" w:cs="Arial"/>
          <w:color w:val="000000" w:themeColor="text1"/>
          <w:sz w:val="20"/>
        </w:rPr>
        <w:t>Term Funding Scheme/</w:t>
      </w:r>
      <w:r w:rsidR="00FA0094" w:rsidRPr="00457617">
        <w:rPr>
          <w:rFonts w:ascii="Arial" w:hAnsi="Arial" w:cs="Arial"/>
          <w:color w:val="000000" w:themeColor="text1"/>
          <w:sz w:val="20"/>
        </w:rPr>
        <w:t>T</w:t>
      </w:r>
      <w:r w:rsidR="00084084" w:rsidRPr="00457617">
        <w:rPr>
          <w:rFonts w:ascii="Arial" w:hAnsi="Arial" w:cs="Arial"/>
          <w:color w:val="000000" w:themeColor="text1"/>
          <w:sz w:val="20"/>
        </w:rPr>
        <w:t xml:space="preserve">erm </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 xml:space="preserve">unding </w:t>
      </w:r>
      <w:r w:rsidR="00FA0094" w:rsidRPr="00457617">
        <w:rPr>
          <w:rFonts w:ascii="Arial" w:hAnsi="Arial" w:cs="Arial"/>
          <w:color w:val="000000" w:themeColor="text1"/>
          <w:sz w:val="20"/>
        </w:rPr>
        <w:t>S</w:t>
      </w:r>
      <w:r w:rsidR="00084084" w:rsidRPr="00457617">
        <w:rPr>
          <w:rFonts w:ascii="Arial" w:hAnsi="Arial" w:cs="Arial"/>
          <w:color w:val="000000" w:themeColor="text1"/>
          <w:sz w:val="20"/>
        </w:rPr>
        <w:t>cheme</w:t>
      </w:r>
      <w:r w:rsidR="006A7F27">
        <w:rPr>
          <w:rFonts w:ascii="Arial" w:hAnsi="Arial" w:cs="Arial"/>
          <w:color w:val="000000" w:themeColor="text1"/>
          <w:sz w:val="20"/>
        </w:rPr>
        <w:t xml:space="preserve"> with additional incentives for SMEs</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unding for Lending Scheme</w:t>
      </w:r>
      <w:r w:rsidR="00FA0094" w:rsidRPr="00457617">
        <w:rPr>
          <w:rFonts w:ascii="Arial" w:hAnsi="Arial" w:cs="Arial"/>
          <w:color w:val="000000" w:themeColor="text1"/>
          <w:sz w:val="20"/>
        </w:rPr>
        <w:t>?</w:t>
      </w:r>
      <w:r w:rsidR="00C04D47">
        <w:rPr>
          <w:rFonts w:ascii="Arial" w:hAnsi="Arial" w:cs="Arial"/>
          <w:color w:val="000000" w:themeColor="text1"/>
          <w:sz w:val="20"/>
        </w:rPr>
        <w:t xml:space="preserve"> How do they interact with the amortisation of Bounce Back Loans and the fact that defaulted Bounce Back Loans are removed from the weekly loan balances?</w:t>
      </w:r>
    </w:p>
    <w:p w14:paraId="42C886FE" w14:textId="77777777" w:rsidR="003B3BB6" w:rsidRPr="00A822FE" w:rsidRDefault="003B3BB6" w:rsidP="003B3BB6">
      <w:pPr>
        <w:pStyle w:val="FWBL2"/>
        <w:numPr>
          <w:ilvl w:val="0"/>
          <w:numId w:val="0"/>
        </w:numPr>
        <w:spacing w:after="0"/>
        <w:ind w:left="1349"/>
        <w:rPr>
          <w:rFonts w:ascii="Arial" w:hAnsi="Arial" w:cs="Arial"/>
          <w:color w:val="000000" w:themeColor="text1"/>
          <w:sz w:val="20"/>
        </w:rPr>
      </w:pPr>
    </w:p>
    <w:p w14:paraId="21EF8CE0" w14:textId="11115624" w:rsidR="006E6669" w:rsidRPr="002151D8" w:rsidRDefault="00164E06" w:rsidP="009B7FD8">
      <w:pPr>
        <w:pStyle w:val="FWBL1"/>
        <w:numPr>
          <w:ilvl w:val="0"/>
          <w:numId w:val="2"/>
        </w:numPr>
        <w:rPr>
          <w:rFonts w:ascii="Arial" w:hAnsi="Arial"/>
          <w:smallCaps w:val="0"/>
        </w:rPr>
      </w:pPr>
      <w:r w:rsidRPr="002151D8">
        <w:rPr>
          <w:rFonts w:ascii="Arial" w:hAnsi="Arial"/>
          <w:smallCaps w:val="0"/>
        </w:rPr>
        <w:t>Strateg</w:t>
      </w:r>
      <w:r w:rsidR="00096B23" w:rsidRPr="002151D8">
        <w:rPr>
          <w:rFonts w:ascii="Arial" w:hAnsi="Arial"/>
          <w:smallCaps w:val="0"/>
        </w:rPr>
        <w:t>y</w:t>
      </w:r>
      <w:r w:rsidR="00CA2C3B" w:rsidRPr="009B7FD8">
        <w:rPr>
          <w:rFonts w:ascii="Arial" w:hAnsi="Arial" w:cs="Arial"/>
          <w:smallCaps w:val="0"/>
          <w:szCs w:val="24"/>
        </w:rPr>
        <w:t xml:space="preserve"> </w:t>
      </w:r>
    </w:p>
    <w:p w14:paraId="4976A291" w14:textId="77777777" w:rsidR="006E6669" w:rsidRPr="00F55D8F" w:rsidRDefault="00B2374B" w:rsidP="006A759E">
      <w:pPr>
        <w:pStyle w:val="FWBL2"/>
        <w:numPr>
          <w:ilvl w:val="0"/>
          <w:numId w:val="0"/>
        </w:numPr>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14:paraId="67477D33" w14:textId="35A29EFF" w:rsidR="00033DF4" w:rsidRDefault="00B46E8D" w:rsidP="009B7FD8">
      <w:pPr>
        <w:pStyle w:val="FWBL2"/>
        <w:numPr>
          <w:ilvl w:val="1"/>
          <w:numId w:val="2"/>
        </w:numPr>
        <w:rPr>
          <w:rFonts w:ascii="Arial" w:hAnsi="Arial" w:cs="Arial"/>
          <w:color w:val="000000" w:themeColor="text1"/>
          <w:sz w:val="20"/>
        </w:rPr>
      </w:pPr>
      <w:r>
        <w:rPr>
          <w:rFonts w:ascii="Arial" w:hAnsi="Arial" w:cs="Arial"/>
          <w:color w:val="000000" w:themeColor="text1"/>
          <w:sz w:val="20"/>
        </w:rPr>
        <w:t>Please outline how the Bounce Back Loan Scheme Guidance is incorporated into your lending policy highlighting, in particular, the following:</w:t>
      </w:r>
    </w:p>
    <w:p w14:paraId="3C9AF647" w14:textId="1A6F0563" w:rsidR="00B46E8D" w:rsidRDefault="000D7E69" w:rsidP="002151D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BBLS guarantee agreement’s e</w:t>
      </w:r>
      <w:r w:rsidR="00B46E8D">
        <w:rPr>
          <w:rFonts w:ascii="Arial" w:hAnsi="Arial" w:cs="Arial"/>
          <w:color w:val="000000" w:themeColor="text1"/>
          <w:sz w:val="20"/>
        </w:rPr>
        <w:t>ligibility criteria checks in relation to the applicant and the loan;</w:t>
      </w:r>
    </w:p>
    <w:p w14:paraId="398CA5C2" w14:textId="3E64CCD6" w:rsidR="00B46E8D" w:rsidRPr="00F55D8F" w:rsidRDefault="00B46E8D" w:rsidP="002151D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Minimum appropriate standards in relation to anti-money laundering, know your customer and application fraud.</w:t>
      </w:r>
    </w:p>
    <w:p w14:paraId="3FFC6F4B" w14:textId="03F06AA3" w:rsidR="001D0954" w:rsidRPr="00F55D8F" w:rsidRDefault="00CA2C3B" w:rsidP="00415B30">
      <w:pPr>
        <w:pStyle w:val="FWBL2"/>
        <w:numPr>
          <w:ilvl w:val="1"/>
          <w:numId w:val="2"/>
        </w:numPr>
        <w:rPr>
          <w:rFonts w:ascii="Arial" w:hAnsi="Arial" w:cs="Arial"/>
          <w:color w:val="000000" w:themeColor="text1"/>
          <w:sz w:val="20"/>
        </w:rPr>
      </w:pPr>
      <w:r>
        <w:rPr>
          <w:rFonts w:ascii="Arial" w:hAnsi="Arial" w:cs="Arial"/>
          <w:color w:val="000000" w:themeColor="text1"/>
          <w:sz w:val="20"/>
        </w:rPr>
        <w:t>Participant must confirm whether Bounce Back Loan</w:t>
      </w:r>
      <w:r w:rsidR="00E30638">
        <w:rPr>
          <w:rFonts w:ascii="Arial" w:hAnsi="Arial" w:cs="Arial"/>
          <w:color w:val="000000" w:themeColor="text1"/>
          <w:sz w:val="20"/>
        </w:rPr>
        <w:t xml:space="preserve">s are </w:t>
      </w:r>
      <w:r>
        <w:rPr>
          <w:rFonts w:ascii="Arial" w:hAnsi="Arial" w:cs="Arial"/>
          <w:color w:val="000000" w:themeColor="text1"/>
          <w:sz w:val="20"/>
        </w:rPr>
        <w:t xml:space="preserve">granted to </w:t>
      </w:r>
      <w:r w:rsidR="00E30638">
        <w:rPr>
          <w:rFonts w:ascii="Arial" w:hAnsi="Arial" w:cs="Arial"/>
          <w:color w:val="000000" w:themeColor="text1"/>
          <w:sz w:val="20"/>
        </w:rPr>
        <w:t xml:space="preserve">all eligible </w:t>
      </w:r>
      <w:r>
        <w:rPr>
          <w:rFonts w:ascii="Arial" w:hAnsi="Arial" w:cs="Arial"/>
          <w:color w:val="000000" w:themeColor="text1"/>
          <w:sz w:val="20"/>
        </w:rPr>
        <w:t>applicants</w:t>
      </w:r>
      <w:r w:rsidR="00E30638">
        <w:rPr>
          <w:rFonts w:ascii="Arial" w:hAnsi="Arial" w:cs="Arial"/>
          <w:color w:val="000000" w:themeColor="text1"/>
          <w:sz w:val="20"/>
        </w:rPr>
        <w:t xml:space="preserve"> or only to those</w:t>
      </w:r>
      <w:r>
        <w:rPr>
          <w:rFonts w:ascii="Arial" w:hAnsi="Arial" w:cs="Arial"/>
          <w:color w:val="000000" w:themeColor="text1"/>
          <w:sz w:val="20"/>
        </w:rPr>
        <w:t xml:space="preserve"> with whom an existing customer relationship </w:t>
      </w:r>
      <w:r w:rsidR="00E30638">
        <w:rPr>
          <w:rFonts w:ascii="Arial" w:hAnsi="Arial" w:cs="Arial"/>
          <w:color w:val="000000" w:themeColor="text1"/>
          <w:sz w:val="20"/>
        </w:rPr>
        <w:t>exists.</w:t>
      </w:r>
      <w:r w:rsidR="0091237F">
        <w:rPr>
          <w:rFonts w:ascii="Arial" w:hAnsi="Arial" w:cs="Arial"/>
          <w:color w:val="000000" w:themeColor="text1"/>
          <w:sz w:val="20"/>
        </w:rPr>
        <w:t xml:space="preserve"> If they are also granted to new customers, what is the proportion of Bounce Back Loans granted to new vs existing customers?</w:t>
      </w:r>
    </w:p>
    <w:p w14:paraId="5246734E" w14:textId="77777777" w:rsidR="00F55D8F" w:rsidRDefault="00F55D8F" w:rsidP="00B2374B">
      <w:pPr>
        <w:pStyle w:val="FWBL2"/>
        <w:numPr>
          <w:ilvl w:val="0"/>
          <w:numId w:val="0"/>
        </w:numPr>
        <w:ind w:left="360"/>
        <w:rPr>
          <w:rFonts w:ascii="Arial" w:hAnsi="Arial" w:cs="Arial"/>
          <w:b/>
          <w:color w:val="000000" w:themeColor="text1"/>
          <w:sz w:val="20"/>
          <w:u w:val="single"/>
        </w:rPr>
      </w:pPr>
    </w:p>
    <w:p w14:paraId="73C246C2" w14:textId="77777777" w:rsidR="00F55D8F" w:rsidRPr="002151D8" w:rsidRDefault="00F55D8F" w:rsidP="002151D8">
      <w:pPr>
        <w:pStyle w:val="FWBL2"/>
        <w:numPr>
          <w:ilvl w:val="0"/>
          <w:numId w:val="0"/>
        </w:numPr>
        <w:ind w:left="360"/>
        <w:rPr>
          <w:rFonts w:ascii="Arial" w:hAnsi="Arial"/>
          <w:b/>
          <w:color w:val="C00000"/>
          <w:sz w:val="20"/>
          <w:u w:val="single"/>
        </w:rPr>
      </w:pPr>
    </w:p>
    <w:p w14:paraId="7F216EFE" w14:textId="77777777" w:rsidR="00D3248A" w:rsidRPr="00646A4F" w:rsidRDefault="00D3248A" w:rsidP="00D3248A">
      <w:pPr>
        <w:pStyle w:val="FWBL2"/>
        <w:numPr>
          <w:ilvl w:val="0"/>
          <w:numId w:val="0"/>
        </w:numPr>
        <w:ind w:left="1701"/>
        <w:rPr>
          <w:rFonts w:ascii="Arial" w:hAnsi="Arial" w:cs="Arial"/>
          <w:sz w:val="20"/>
        </w:rPr>
      </w:pPr>
    </w:p>
    <w:p w14:paraId="40AC037B" w14:textId="77777777" w:rsidR="00066238" w:rsidRPr="00FA0094" w:rsidRDefault="00066238" w:rsidP="00FA0094">
      <w:pPr>
        <w:pStyle w:val="FWBL2"/>
        <w:numPr>
          <w:ilvl w:val="0"/>
          <w:numId w:val="0"/>
        </w:numPr>
        <w:ind w:left="360"/>
        <w:rPr>
          <w:rFonts w:ascii="Arial" w:hAnsi="Arial" w:cs="Arial"/>
          <w:smallCaps/>
          <w:sz w:val="20"/>
        </w:rPr>
      </w:pPr>
    </w:p>
    <w:p w14:paraId="220E4D3E" w14:textId="77777777"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14:paraId="19B608E9" w14:textId="77777777"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C03352">
        <w:rPr>
          <w:rFonts w:ascii="Arial" w:hAnsi="Arial" w:cs="Arial"/>
          <w:color w:val="000000" w:themeColor="text1"/>
          <w:sz w:val="20"/>
        </w:rPr>
        <w:t>SME</w:t>
      </w:r>
      <w:r w:rsidR="006B401F" w:rsidRPr="00F55D8F">
        <w:rPr>
          <w:rFonts w:ascii="Arial" w:hAnsi="Arial" w:cs="Arial"/>
          <w:color w:val="000000" w:themeColor="text1"/>
          <w:sz w:val="20"/>
        </w:rPr>
        <w:t xml:space="preserve"> experience and tenure.</w:t>
      </w:r>
    </w:p>
    <w:p w14:paraId="77808DC3" w14:textId="77777777"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Participants risk management framework and how this applies to the </w:t>
      </w:r>
      <w:r w:rsidR="00C03352">
        <w:rPr>
          <w:rFonts w:ascii="Arial" w:hAnsi="Arial" w:cs="Arial"/>
          <w:color w:val="000000" w:themeColor="text1"/>
          <w:sz w:val="20"/>
        </w:rPr>
        <w:t>SME</w:t>
      </w:r>
      <w:r w:rsidRPr="00F55D8F">
        <w:rPr>
          <w:rFonts w:ascii="Arial" w:hAnsi="Arial" w:cs="Arial"/>
          <w:color w:val="000000" w:themeColor="text1"/>
          <w:sz w:val="20"/>
        </w:rPr>
        <w:t xml:space="preserve"> business.</w:t>
      </w:r>
    </w:p>
    <w:p w14:paraId="19CB57BF" w14:textId="77777777"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14:paraId="28F1EF10" w14:textId="77777777"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C03352">
        <w:rPr>
          <w:rFonts w:ascii="Arial" w:hAnsi="Arial" w:cs="Arial"/>
          <w:color w:val="000000" w:themeColor="text1"/>
          <w:sz w:val="20"/>
        </w:rPr>
        <w:t>SME</w:t>
      </w:r>
      <w:r w:rsidRPr="00F55D8F">
        <w:rPr>
          <w:rFonts w:ascii="Arial" w:hAnsi="Arial" w:cs="Arial"/>
          <w:color w:val="000000" w:themeColor="text1"/>
          <w:sz w:val="20"/>
        </w:rPr>
        <w:t xml:space="preserve"> credit risk?</w:t>
      </w:r>
      <w:r w:rsidR="00174AD4" w:rsidRPr="00F55D8F">
        <w:rPr>
          <w:rFonts w:ascii="Arial" w:hAnsi="Arial" w:cs="Arial"/>
          <w:color w:val="000000" w:themeColor="text1"/>
          <w:sz w:val="20"/>
        </w:rPr>
        <w:t xml:space="preserve"> Is this split per product line or shared with other areas (such as personal loans)?</w:t>
      </w:r>
    </w:p>
    <w:p w14:paraId="646D06E3"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6E6B89">
        <w:rPr>
          <w:rFonts w:ascii="Arial" w:hAnsi="Arial" w:cs="Arial"/>
          <w:color w:val="000000" w:themeColor="text1"/>
          <w:sz w:val="20"/>
        </w:rPr>
        <w:t>SME</w:t>
      </w:r>
      <w:r w:rsidR="001C1396" w:rsidRPr="00F55D8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14:paraId="45AE16A5" w14:textId="77777777" w:rsidR="009A33F8"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14:paraId="30B8E107" w14:textId="7879FEE9"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w:t>
      </w:r>
      <w:r w:rsidR="00C74471">
        <w:rPr>
          <w:rFonts w:ascii="Arial" w:hAnsi="Arial" w:cs="Arial"/>
          <w:color w:val="000000" w:themeColor="text1"/>
          <w:sz w:val="20"/>
        </w:rPr>
        <w:t xml:space="preserve">cumulative </w:t>
      </w:r>
      <w:r w:rsidR="00051F2B">
        <w:rPr>
          <w:rFonts w:ascii="Arial" w:hAnsi="Arial" w:cs="Arial"/>
          <w:color w:val="000000" w:themeColor="text1"/>
          <w:sz w:val="20"/>
        </w:rPr>
        <w:t>defaults</w:t>
      </w:r>
      <w:r w:rsidRPr="00F55D8F">
        <w:rPr>
          <w:rFonts w:ascii="Arial" w:hAnsi="Arial" w:cs="Arial"/>
          <w:color w:val="000000" w:themeColor="text1"/>
          <w:sz w:val="20"/>
        </w:rPr>
        <w:t xml:space="preserve"> do</w:t>
      </w:r>
      <w:r w:rsidR="00833210" w:rsidRPr="00F55D8F">
        <w:rPr>
          <w:rFonts w:ascii="Arial" w:hAnsi="Arial" w:cs="Arial"/>
          <w:color w:val="000000" w:themeColor="text1"/>
          <w:sz w:val="20"/>
        </w:rPr>
        <w:t xml:space="preserve">es it </w:t>
      </w:r>
      <w:r w:rsidR="00051F2B">
        <w:rPr>
          <w:rFonts w:ascii="Arial" w:hAnsi="Arial" w:cs="Arial"/>
          <w:color w:val="000000" w:themeColor="text1"/>
          <w:sz w:val="20"/>
        </w:rPr>
        <w:t xml:space="preserve">forecast for </w:t>
      </w:r>
      <w:r w:rsidR="00C74471">
        <w:rPr>
          <w:rFonts w:ascii="Arial" w:hAnsi="Arial" w:cs="Arial"/>
          <w:color w:val="000000" w:themeColor="text1"/>
          <w:sz w:val="20"/>
        </w:rPr>
        <w:t>BBLS loans</w:t>
      </w:r>
      <w:r w:rsidRPr="00F55D8F">
        <w:rPr>
          <w:rFonts w:ascii="Arial" w:hAnsi="Arial" w:cs="Arial"/>
          <w:color w:val="000000" w:themeColor="text1"/>
          <w:sz w:val="20"/>
        </w:rPr>
        <w:t xml:space="preser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14:paraId="3F9DA51B" w14:textId="77777777"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14:paraId="62AAB24D" w14:textId="77777777" w:rsidR="009A33F8" w:rsidRPr="00E3137F" w:rsidRDefault="00986605" w:rsidP="001453C8">
      <w:pPr>
        <w:pStyle w:val="FWBL2"/>
        <w:numPr>
          <w:ilvl w:val="2"/>
          <w:numId w:val="2"/>
        </w:numPr>
        <w:ind w:left="1701" w:hanging="708"/>
        <w:rPr>
          <w:rFonts w:ascii="Arial" w:hAnsi="Arial" w:cs="Arial"/>
          <w:color w:val="000000" w:themeColor="text1"/>
          <w:sz w:val="20"/>
        </w:rPr>
      </w:pPr>
      <w:r w:rsidRPr="00E3137F">
        <w:rPr>
          <w:rFonts w:ascii="Arial" w:hAnsi="Arial" w:cs="Arial"/>
          <w:color w:val="000000" w:themeColor="text1"/>
          <w:sz w:val="20"/>
        </w:rPr>
        <w:t>What</w:t>
      </w:r>
      <w:r w:rsidR="009A33F8" w:rsidRPr="00E3137F">
        <w:rPr>
          <w:rFonts w:ascii="Arial" w:hAnsi="Arial" w:cs="Arial"/>
          <w:color w:val="000000" w:themeColor="text1"/>
          <w:sz w:val="20"/>
        </w:rPr>
        <w:t xml:space="preserve"> </w:t>
      </w:r>
      <w:r w:rsidR="00833210" w:rsidRPr="00E3137F">
        <w:rPr>
          <w:rFonts w:ascii="Arial" w:hAnsi="Arial" w:cs="Arial"/>
          <w:color w:val="000000" w:themeColor="text1"/>
          <w:sz w:val="20"/>
        </w:rPr>
        <w:t xml:space="preserve">is the </w:t>
      </w:r>
      <w:r w:rsidRPr="00E3137F">
        <w:rPr>
          <w:rFonts w:ascii="Arial" w:hAnsi="Arial" w:cs="Arial"/>
          <w:color w:val="000000" w:themeColor="text1"/>
          <w:sz w:val="20"/>
        </w:rPr>
        <w:t xml:space="preserve">role of the </w:t>
      </w:r>
      <w:r w:rsidR="00833210" w:rsidRPr="00E3137F">
        <w:rPr>
          <w:rFonts w:ascii="Arial" w:hAnsi="Arial" w:cs="Arial"/>
          <w:color w:val="000000" w:themeColor="text1"/>
          <w:sz w:val="20"/>
        </w:rPr>
        <w:t xml:space="preserve">risk function in </w:t>
      </w:r>
      <w:r w:rsidR="009A33F8" w:rsidRPr="00E3137F">
        <w:rPr>
          <w:rFonts w:ascii="Arial" w:hAnsi="Arial" w:cs="Arial"/>
          <w:color w:val="000000" w:themeColor="text1"/>
          <w:sz w:val="20"/>
        </w:rPr>
        <w:t>li</w:t>
      </w:r>
      <w:r w:rsidR="004918C9" w:rsidRPr="00E3137F">
        <w:rPr>
          <w:rFonts w:ascii="Arial" w:hAnsi="Arial" w:cs="Arial"/>
          <w:color w:val="000000" w:themeColor="text1"/>
          <w:sz w:val="20"/>
        </w:rPr>
        <w:t>ve underwriting decision-making?</w:t>
      </w:r>
    </w:p>
    <w:p w14:paraId="4987312D" w14:textId="75A32A5D" w:rsidR="009A33F8" w:rsidRPr="00E3137F" w:rsidRDefault="009A33F8" w:rsidP="001453C8">
      <w:pPr>
        <w:pStyle w:val="FWBL2"/>
        <w:numPr>
          <w:ilvl w:val="2"/>
          <w:numId w:val="2"/>
        </w:numPr>
        <w:ind w:left="1701" w:hanging="708"/>
        <w:rPr>
          <w:rFonts w:ascii="Arial" w:hAnsi="Arial" w:cs="Arial"/>
          <w:color w:val="000000" w:themeColor="text1"/>
          <w:sz w:val="20"/>
        </w:rPr>
      </w:pPr>
      <w:r w:rsidRPr="00E3137F">
        <w:rPr>
          <w:rFonts w:ascii="Arial" w:hAnsi="Arial" w:cs="Arial"/>
          <w:color w:val="000000" w:themeColor="text1"/>
          <w:sz w:val="20"/>
        </w:rPr>
        <w:t>How do</w:t>
      </w:r>
      <w:r w:rsidR="00833210" w:rsidRPr="00E3137F">
        <w:rPr>
          <w:rFonts w:ascii="Arial" w:hAnsi="Arial" w:cs="Arial"/>
          <w:color w:val="000000" w:themeColor="text1"/>
          <w:sz w:val="20"/>
        </w:rPr>
        <w:t>es the risk function</w:t>
      </w:r>
      <w:r w:rsidRPr="00E3137F">
        <w:rPr>
          <w:rFonts w:ascii="Arial" w:hAnsi="Arial" w:cs="Arial"/>
          <w:color w:val="000000" w:themeColor="text1"/>
          <w:sz w:val="20"/>
        </w:rPr>
        <w:t xml:space="preserve"> set, monitor and </w:t>
      </w:r>
      <w:r w:rsidR="004918C9" w:rsidRPr="00E3137F">
        <w:rPr>
          <w:rFonts w:ascii="Arial" w:hAnsi="Arial" w:cs="Arial"/>
          <w:color w:val="000000" w:themeColor="text1"/>
          <w:sz w:val="20"/>
        </w:rPr>
        <w:t>enforce risk policies on application fraud</w:t>
      </w:r>
      <w:r w:rsidRPr="00E3137F">
        <w:rPr>
          <w:rFonts w:ascii="Arial" w:hAnsi="Arial" w:cs="Arial"/>
          <w:color w:val="000000" w:themeColor="text1"/>
          <w:sz w:val="20"/>
        </w:rPr>
        <w:t>?</w:t>
      </w:r>
    </w:p>
    <w:p w14:paraId="62767931" w14:textId="0F9D3A88"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 xml:space="preserve">or back office in terms of changing criteria, procedures.  </w:t>
      </w:r>
    </w:p>
    <w:p w14:paraId="76143194" w14:textId="77777777"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6E6B89">
        <w:rPr>
          <w:rFonts w:ascii="Arial" w:hAnsi="Arial" w:cs="Arial"/>
          <w:color w:val="000000" w:themeColor="text1"/>
          <w:sz w:val="20"/>
        </w:rPr>
        <w:t>SME lending</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14:paraId="7FBEE05D" w14:textId="77777777"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14:paraId="58B25BAD" w14:textId="77777777"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14:paraId="4D73DA7B" w14:textId="77777777"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6E6B89">
        <w:rPr>
          <w:rFonts w:ascii="Arial" w:hAnsi="Arial" w:cs="Arial"/>
          <w:color w:val="000000" w:themeColor="text1"/>
          <w:sz w:val="20"/>
        </w:rPr>
        <w:t>SME</w:t>
      </w:r>
      <w:r w:rsidRPr="00F55D8F">
        <w:rPr>
          <w:rFonts w:ascii="Arial" w:hAnsi="Arial" w:cs="Arial"/>
          <w:color w:val="000000" w:themeColor="text1"/>
          <w:sz w:val="20"/>
        </w:rPr>
        <w:t xml:space="preserve"> book. How are book triggers/limits agreed? Outline any changes to limits made over the last year.</w:t>
      </w:r>
    </w:p>
    <w:p w14:paraId="70918A54" w14:textId="77777777"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6E6B89">
        <w:rPr>
          <w:rFonts w:ascii="Arial" w:hAnsi="Arial" w:cs="Arial"/>
          <w:color w:val="000000" w:themeColor="text1"/>
          <w:sz w:val="20"/>
        </w:rPr>
        <w:t>SME</w:t>
      </w:r>
      <w:r w:rsidRPr="00F55D8F">
        <w:rPr>
          <w:rFonts w:ascii="Arial" w:hAnsi="Arial" w:cs="Arial"/>
          <w:color w:val="000000" w:themeColor="text1"/>
          <w:sz w:val="20"/>
        </w:rPr>
        <w:t xml:space="preserve"> book? Including large exposures, geographic and employer concentration.</w:t>
      </w:r>
    </w:p>
    <w:p w14:paraId="1A74BD11" w14:textId="77777777"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14:paraId="0B85F518" w14:textId="77777777" w:rsidR="00627034"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p>
    <w:p w14:paraId="2D184AE0" w14:textId="77777777" w:rsidR="00337350" w:rsidRDefault="00337350"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14:paraId="17FD2CD9" w14:textId="77777777" w:rsidR="00F55D8F" w:rsidRPr="00646A4F" w:rsidRDefault="00F55D8F" w:rsidP="00F55D8F">
      <w:pPr>
        <w:pStyle w:val="FWBL2"/>
        <w:numPr>
          <w:ilvl w:val="0"/>
          <w:numId w:val="0"/>
        </w:numPr>
        <w:ind w:left="993"/>
        <w:rPr>
          <w:rFonts w:ascii="Arial" w:hAnsi="Arial" w:cs="Arial"/>
          <w:sz w:val="20"/>
        </w:rPr>
      </w:pPr>
    </w:p>
    <w:p w14:paraId="66AE4085" w14:textId="77777777"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14:paraId="45EE174A" w14:textId="77777777"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14:paraId="5A005E14" w14:textId="77777777"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14:paraId="5B260A31" w14:textId="77777777"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14:paraId="5D61ED57" w14:textId="77777777"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14:paraId="10DAFFE5" w14:textId="77777777" w:rsidR="00997A7A" w:rsidRDefault="00997A7A" w:rsidP="00270950">
      <w:pPr>
        <w:pStyle w:val="FWBL2"/>
        <w:numPr>
          <w:ilvl w:val="2"/>
          <w:numId w:val="2"/>
        </w:numPr>
        <w:ind w:left="1843" w:hanging="850"/>
        <w:rPr>
          <w:rFonts w:ascii="Arial" w:hAnsi="Arial" w:cs="Arial"/>
          <w:sz w:val="20"/>
        </w:rPr>
      </w:pPr>
      <w:r>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14:paraId="3C97AD23" w14:textId="77777777"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14:paraId="21D9F35B" w14:textId="77777777"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0D7E69">
        <w:rPr>
          <w:rFonts w:ascii="Arial" w:hAnsi="Arial" w:cs="Arial"/>
          <w:sz w:val="20"/>
        </w:rPr>
        <w:t xml:space="preserve"> for Bounce Back Loans</w:t>
      </w:r>
      <w:r w:rsidR="00100008" w:rsidRPr="00646A4F">
        <w:rPr>
          <w:rFonts w:ascii="Arial" w:hAnsi="Arial" w:cs="Arial"/>
          <w:sz w:val="20"/>
        </w:rPr>
        <w:t>, including</w:t>
      </w:r>
      <w:r w:rsidR="00A95B1F" w:rsidRPr="00646A4F">
        <w:rPr>
          <w:rFonts w:ascii="Arial" w:hAnsi="Arial" w:cs="Arial"/>
          <w:sz w:val="20"/>
        </w:rPr>
        <w:t>;</w:t>
      </w:r>
    </w:p>
    <w:p w14:paraId="4159A327" w14:textId="77777777"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lastRenderedPageBreak/>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14:paraId="26D4F8BE" w14:textId="77777777"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14:paraId="5357683D" w14:textId="77777777"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00997A7A">
        <w:rPr>
          <w:rFonts w:ascii="Arial" w:hAnsi="Arial" w:cs="Arial"/>
          <w:color w:val="000000" w:themeColor="text1"/>
          <w:sz w:val="20"/>
        </w:rPr>
        <w:t xml:space="preserve"> core SME</w:t>
      </w:r>
      <w:r w:rsidRPr="00F55D8F">
        <w:rPr>
          <w:rFonts w:ascii="Arial" w:hAnsi="Arial" w:cs="Arial"/>
          <w:color w:val="000000" w:themeColor="text1"/>
          <w:sz w:val="20"/>
        </w:rPr>
        <w:t xml:space="preserve"> system?</w:t>
      </w:r>
    </w:p>
    <w:p w14:paraId="5B46D67B" w14:textId="77777777"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14:paraId="479F2338" w14:textId="77777777"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14:paraId="3F1702D2" w14:textId="77777777"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14:paraId="70D40635" w14:textId="77777777" w:rsidR="005211A5" w:rsidRPr="00646A4F" w:rsidRDefault="005211A5" w:rsidP="00270950">
      <w:pPr>
        <w:pStyle w:val="FWBL2"/>
        <w:numPr>
          <w:ilvl w:val="2"/>
          <w:numId w:val="2"/>
        </w:numPr>
        <w:ind w:left="1843" w:hanging="850"/>
        <w:rPr>
          <w:rFonts w:ascii="Arial" w:hAnsi="Arial" w:cs="Arial"/>
          <w:sz w:val="20"/>
        </w:rPr>
      </w:pPr>
      <w:r>
        <w:rPr>
          <w:rFonts w:ascii="Arial" w:hAnsi="Arial" w:cs="Arial"/>
          <w:sz w:val="20"/>
        </w:rPr>
        <w:t xml:space="preserve"> </w:t>
      </w:r>
      <w:r w:rsidR="00F55D8F">
        <w:rPr>
          <w:rFonts w:ascii="Arial" w:hAnsi="Arial" w:cs="Arial"/>
          <w:sz w:val="20"/>
        </w:rPr>
        <w:t>O</w:t>
      </w:r>
      <w:r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14:paraId="10FF09E1" w14:textId="77777777"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0D7E69">
        <w:rPr>
          <w:rFonts w:ascii="Arial" w:hAnsi="Arial" w:cs="Arial"/>
          <w:color w:val="000000" w:themeColor="text1"/>
          <w:sz w:val="20"/>
        </w:rPr>
        <w:t xml:space="preserve"> in Bounce Back Loans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14:paraId="232AC280" w14:textId="77777777"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14:paraId="3A746019" w14:textId="77777777" w:rsidR="00035CD9" w:rsidRDefault="00035CD9" w:rsidP="00415B30">
      <w:pPr>
        <w:pStyle w:val="FWBL2"/>
        <w:numPr>
          <w:ilvl w:val="1"/>
          <w:numId w:val="2"/>
        </w:numPr>
        <w:ind w:left="993" w:hanging="633"/>
        <w:rPr>
          <w:rFonts w:ascii="Arial" w:hAnsi="Arial" w:cs="Arial"/>
          <w:sz w:val="20"/>
        </w:rPr>
      </w:pPr>
      <w:r>
        <w:rPr>
          <w:rFonts w:ascii="Arial" w:hAnsi="Arial" w:cs="Arial"/>
          <w:sz w:val="20"/>
        </w:rPr>
        <w:t>Outline the actions taken when covenant breaches are identified. What further actions are taken when borrowers are unable to correct a breach?</w:t>
      </w:r>
    </w:p>
    <w:p w14:paraId="55BF1626" w14:textId="7E499CEC"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events which may impact the ability to administer the portfolio of </w:t>
      </w:r>
      <w:r w:rsidR="00C74471">
        <w:rPr>
          <w:rFonts w:ascii="Arial" w:hAnsi="Arial" w:cs="Arial"/>
          <w:sz w:val="20"/>
        </w:rPr>
        <w:t>BBLS</w:t>
      </w:r>
      <w:r w:rsidR="00C74471" w:rsidRPr="00646A4F">
        <w:rPr>
          <w:rFonts w:ascii="Arial" w:hAnsi="Arial" w:cs="Arial"/>
          <w:sz w:val="20"/>
        </w:rPr>
        <w:t xml:space="preserve"> </w:t>
      </w:r>
      <w:r w:rsidR="00627034" w:rsidRPr="00646A4F">
        <w:rPr>
          <w:rFonts w:ascii="Arial" w:hAnsi="Arial" w:cs="Arial"/>
          <w:sz w:val="20"/>
        </w:rPr>
        <w:t xml:space="preserve">loans on behalf of the Bank, including any changes in the costs of servicing or compliance with laws and/or regulations; </w:t>
      </w:r>
    </w:p>
    <w:p w14:paraId="1EC192A3" w14:textId="14765C69" w:rsidR="00134A19"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 xml:space="preserve">etails of any outsourcing arrangements that may impact the </w:t>
      </w:r>
      <w:r w:rsidR="00A85565">
        <w:rPr>
          <w:rFonts w:ascii="Arial" w:hAnsi="Arial" w:cs="Arial"/>
          <w:color w:val="000000" w:themeColor="text1"/>
          <w:sz w:val="20"/>
        </w:rPr>
        <w:t>BBLS</w:t>
      </w:r>
      <w:r w:rsidR="00A85565" w:rsidRPr="00F55D8F">
        <w:rPr>
          <w:rFonts w:ascii="Arial" w:hAnsi="Arial" w:cs="Arial"/>
          <w:color w:val="000000" w:themeColor="text1"/>
          <w:sz w:val="20"/>
        </w:rPr>
        <w:t xml:space="preserve"> </w:t>
      </w:r>
      <w:r w:rsidR="002151D8">
        <w:rPr>
          <w:rFonts w:ascii="Arial" w:hAnsi="Arial" w:cs="Arial"/>
          <w:color w:val="000000" w:themeColor="text1"/>
          <w:sz w:val="20"/>
        </w:rPr>
        <w:t>loans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 xml:space="preserve">articipants core </w:t>
      </w:r>
      <w:r w:rsidR="00DE5974">
        <w:rPr>
          <w:rFonts w:ascii="Arial" w:hAnsi="Arial" w:cs="Arial"/>
          <w:color w:val="000000" w:themeColor="text1"/>
          <w:sz w:val="20"/>
        </w:rPr>
        <w:t>SME</w:t>
      </w:r>
      <w:r w:rsidR="00CE0A8A" w:rsidRPr="00F55D8F">
        <w:rPr>
          <w:rFonts w:ascii="Arial" w:hAnsi="Arial" w:cs="Arial"/>
          <w:color w:val="000000" w:themeColor="text1"/>
          <w:sz w:val="20"/>
        </w:rPr>
        <w:t xml:space="preserve"> 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627034" w:rsidRPr="00F55D8F">
        <w:rPr>
          <w:rFonts w:ascii="Arial" w:hAnsi="Arial" w:cs="Arial"/>
          <w:color w:val="000000" w:themeColor="text1"/>
          <w:sz w:val="20"/>
        </w:rPr>
        <w:t>;</w:t>
      </w:r>
    </w:p>
    <w:p w14:paraId="4C516295" w14:textId="18D8E8C1" w:rsidR="0063745E" w:rsidRPr="00F55D8F" w:rsidRDefault="0063745E" w:rsidP="002151D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an estimate of your servicing</w:t>
      </w:r>
      <w:r w:rsidR="000D7E69">
        <w:rPr>
          <w:rFonts w:ascii="Arial" w:hAnsi="Arial" w:cs="Arial"/>
          <w:color w:val="000000" w:themeColor="text1"/>
          <w:sz w:val="20"/>
        </w:rPr>
        <w:t xml:space="preserve"> </w:t>
      </w:r>
      <w:r>
        <w:rPr>
          <w:rFonts w:ascii="Arial" w:hAnsi="Arial" w:cs="Arial"/>
          <w:color w:val="000000" w:themeColor="text1"/>
          <w:sz w:val="20"/>
        </w:rPr>
        <w:t>costs for BBLS loans (</w:t>
      </w:r>
      <w:r w:rsidR="00CA1821">
        <w:rPr>
          <w:rFonts w:ascii="Arial" w:hAnsi="Arial" w:cs="Arial"/>
          <w:color w:val="000000" w:themeColor="text1"/>
          <w:sz w:val="20"/>
        </w:rPr>
        <w:t>% per annum of outstanding pool balance</w:t>
      </w:r>
      <w:r>
        <w:rPr>
          <w:rFonts w:ascii="Arial" w:hAnsi="Arial" w:cs="Arial"/>
          <w:color w:val="000000" w:themeColor="text1"/>
          <w:sz w:val="20"/>
        </w:rPr>
        <w:t>) and how this compares with your standard servicing costs for similar loans not originated under the guarantee scheme.</w:t>
      </w:r>
    </w:p>
    <w:p w14:paraId="693FDA8C" w14:textId="77777777" w:rsidR="0041441E" w:rsidRPr="00646A4F" w:rsidRDefault="0041441E" w:rsidP="0041441E">
      <w:pPr>
        <w:pStyle w:val="FWBL2"/>
        <w:numPr>
          <w:ilvl w:val="0"/>
          <w:numId w:val="0"/>
        </w:numPr>
        <w:ind w:left="360"/>
        <w:rPr>
          <w:rFonts w:ascii="Arial" w:hAnsi="Arial" w:cs="Arial"/>
          <w:sz w:val="20"/>
        </w:rPr>
      </w:pPr>
    </w:p>
    <w:p w14:paraId="51B026B1" w14:textId="77777777"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14:paraId="6DC93B79" w14:textId="77777777" w:rsidR="00484489" w:rsidRPr="00B525F3" w:rsidRDefault="00D7757C" w:rsidP="00D67EA2">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14:paraId="5BFB95BB" w14:textId="546605A2"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end to end process for </w:t>
      </w:r>
      <w:r w:rsidR="00C74471">
        <w:rPr>
          <w:rFonts w:ascii="Arial" w:hAnsi="Arial" w:cs="Arial"/>
          <w:color w:val="000000" w:themeColor="text1"/>
          <w:sz w:val="20"/>
        </w:rPr>
        <w:t>BBLS</w:t>
      </w:r>
      <w:r w:rsidR="00C74471" w:rsidRPr="00F55D8F">
        <w:rPr>
          <w:rFonts w:ascii="Arial" w:hAnsi="Arial" w:cs="Arial"/>
          <w:color w:val="000000" w:themeColor="text1"/>
          <w:sz w:val="20"/>
        </w:rPr>
        <w:t xml:space="preserve"> </w:t>
      </w:r>
      <w:r w:rsidRPr="00F55D8F">
        <w:rPr>
          <w:rFonts w:ascii="Arial" w:hAnsi="Arial" w:cs="Arial"/>
          <w:color w:val="000000" w:themeColor="text1"/>
          <w:sz w:val="20"/>
        </w:rPr>
        <w:t>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14:paraId="5DABFBAD" w14:textId="77777777" w:rsidR="00D7757C" w:rsidRPr="00F55D8F" w:rsidRDefault="00D7757C" w:rsidP="0009104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14:paraId="29E30666" w14:textId="77777777"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14:paraId="057935C6" w14:textId="77777777"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B20A9F">
        <w:rPr>
          <w:rFonts w:ascii="Arial" w:hAnsi="Arial" w:cs="Arial"/>
          <w:color w:val="000000" w:themeColor="text1"/>
          <w:sz w:val="20"/>
        </w:rPr>
        <w:t>loan</w:t>
      </w:r>
      <w:r w:rsidRPr="00F55D8F">
        <w:rPr>
          <w:rFonts w:ascii="Arial" w:hAnsi="Arial" w:cs="Arial"/>
          <w:color w:val="000000" w:themeColor="text1"/>
          <w:sz w:val="20"/>
        </w:rPr>
        <w:t xml:space="preserve"> origination)?</w:t>
      </w:r>
    </w:p>
    <w:p w14:paraId="17176542" w14:textId="77777777" w:rsidR="00F55D8F" w:rsidRDefault="00F55D8F" w:rsidP="009E6088">
      <w:pPr>
        <w:pStyle w:val="FWBL2"/>
        <w:numPr>
          <w:ilvl w:val="0"/>
          <w:numId w:val="0"/>
        </w:numPr>
        <w:rPr>
          <w:rFonts w:ascii="Arial" w:hAnsi="Arial" w:cs="Arial"/>
          <w:b/>
          <w:sz w:val="22"/>
          <w:szCs w:val="22"/>
          <w:u w:val="single"/>
        </w:rPr>
      </w:pPr>
    </w:p>
    <w:p w14:paraId="77944EAB" w14:textId="77777777" w:rsidR="00DF280B" w:rsidRPr="00B525F3" w:rsidRDefault="00DF280B" w:rsidP="009E6088">
      <w:pPr>
        <w:pStyle w:val="FWBL2"/>
        <w:numPr>
          <w:ilvl w:val="0"/>
          <w:numId w:val="0"/>
        </w:numPr>
        <w:rPr>
          <w:rFonts w:ascii="Arial" w:hAnsi="Arial" w:cs="Arial"/>
          <w:b/>
          <w:sz w:val="20"/>
          <w:szCs w:val="22"/>
          <w:u w:val="single"/>
        </w:rPr>
      </w:pPr>
      <w:r w:rsidRPr="00B525F3">
        <w:rPr>
          <w:rFonts w:ascii="Arial" w:hAnsi="Arial" w:cs="Arial"/>
          <w:b/>
          <w:sz w:val="20"/>
          <w:szCs w:val="22"/>
          <w:u w:val="single"/>
        </w:rPr>
        <w:lastRenderedPageBreak/>
        <w:t>BoE Data Reporting</w:t>
      </w:r>
    </w:p>
    <w:p w14:paraId="0F9AF115" w14:textId="77777777" w:rsidR="00E822E3" w:rsidRDefault="00E822E3"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14:paraId="461F68F4" w14:textId="39175ADC"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1D556E">
        <w:rPr>
          <w:rFonts w:ascii="Arial" w:hAnsi="Arial" w:cs="Arial"/>
          <w:color w:val="000000" w:themeColor="text1"/>
          <w:sz w:val="20"/>
        </w:rPr>
        <w:t xml:space="preserve">BBLS </w:t>
      </w:r>
      <w:r w:rsidRPr="00E93FC6">
        <w:rPr>
          <w:rFonts w:ascii="Arial" w:hAnsi="Arial" w:cs="Arial"/>
          <w:color w:val="000000" w:themeColor="text1"/>
          <w:sz w:val="20"/>
        </w:rPr>
        <w:t xml:space="preserve">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B20A9F">
        <w:rPr>
          <w:rFonts w:ascii="Arial" w:hAnsi="Arial" w:cs="Arial"/>
          <w:color w:val="000000" w:themeColor="text1"/>
          <w:sz w:val="20"/>
        </w:rPr>
        <w:t>portfolio</w:t>
      </w:r>
      <w:r w:rsidRPr="00E93FC6">
        <w:rPr>
          <w:rFonts w:ascii="Arial" w:hAnsi="Arial" w:cs="Arial"/>
          <w:color w:val="000000" w:themeColor="text1"/>
          <w:sz w:val="20"/>
        </w:rPr>
        <w:t>?</w:t>
      </w:r>
    </w:p>
    <w:p w14:paraId="3E0A2691" w14:textId="50057CF1"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1D556E">
        <w:rPr>
          <w:rFonts w:ascii="Arial" w:hAnsi="Arial" w:cs="Arial"/>
          <w:color w:val="000000" w:themeColor="text1"/>
          <w:sz w:val="20"/>
        </w:rPr>
        <w:t xml:space="preserve">BBLS </w:t>
      </w:r>
      <w:r w:rsidR="00F55952" w:rsidRPr="00F55D8F">
        <w:rPr>
          <w:rFonts w:ascii="Arial" w:hAnsi="Arial" w:cs="Arial"/>
          <w:color w:val="000000" w:themeColor="text1"/>
          <w:sz w:val="20"/>
        </w:rPr>
        <w:t>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p>
    <w:p w14:paraId="26765EEC" w14:textId="77777777"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14:paraId="262439D6" w14:textId="77777777"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14:paraId="56CB7FC3" w14:textId="77777777"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14:paraId="57F13E72" w14:textId="77777777"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14:paraId="5CF576C0" w14:textId="77777777" w:rsidR="00E31AB9"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14:paraId="4FD98DB3" w14:textId="77777777" w:rsidR="00950B6D" w:rsidRPr="00E31AB9" w:rsidRDefault="00950B6D" w:rsidP="0002566C">
      <w:pPr>
        <w:pStyle w:val="FWBL2"/>
        <w:numPr>
          <w:ilvl w:val="0"/>
          <w:numId w:val="0"/>
        </w:numPr>
        <w:spacing w:after="60"/>
        <w:ind w:left="1843" w:hanging="850"/>
        <w:rPr>
          <w:rFonts w:ascii="Arial" w:hAnsi="Arial" w:cs="Arial"/>
          <w:color w:val="C00000"/>
          <w:sz w:val="20"/>
        </w:rPr>
      </w:pPr>
    </w:p>
    <w:p w14:paraId="681DDFB8" w14:textId="77777777" w:rsidR="00D7757C" w:rsidRPr="00B525F3" w:rsidRDefault="00D7757C"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14:paraId="5D1C91EC"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14:paraId="2C170325"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B20A9F">
        <w:rPr>
          <w:rFonts w:ascii="Arial" w:hAnsi="Arial" w:cs="Arial"/>
          <w:color w:val="000000" w:themeColor="text1"/>
          <w:sz w:val="20"/>
        </w:rPr>
        <w:t>SME</w:t>
      </w:r>
      <w:r w:rsidRPr="00E93FC6">
        <w:rPr>
          <w:rFonts w:ascii="Arial" w:hAnsi="Arial" w:cs="Arial"/>
          <w:color w:val="000000" w:themeColor="text1"/>
          <w:sz w:val="20"/>
        </w:rPr>
        <w:t xml:space="preserve"> business, including any outsourced / offshored IT.</w:t>
      </w:r>
    </w:p>
    <w:p w14:paraId="09E07850" w14:textId="77777777" w:rsidR="00F55D8F" w:rsidRDefault="00F55D8F" w:rsidP="005B583B">
      <w:pPr>
        <w:pStyle w:val="FWBL2"/>
        <w:numPr>
          <w:ilvl w:val="0"/>
          <w:numId w:val="0"/>
        </w:numPr>
        <w:rPr>
          <w:rFonts w:ascii="Arial" w:hAnsi="Arial" w:cs="Arial"/>
          <w:b/>
          <w:sz w:val="22"/>
          <w:szCs w:val="22"/>
          <w:u w:val="single"/>
        </w:rPr>
      </w:pPr>
    </w:p>
    <w:p w14:paraId="03744EB0" w14:textId="77777777"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14:paraId="1FFB5D34"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14:paraId="09334E43" w14:textId="77777777" w:rsidR="00F55D8F" w:rsidRDefault="00F55D8F" w:rsidP="005B583B">
      <w:pPr>
        <w:pStyle w:val="FWBL2"/>
        <w:numPr>
          <w:ilvl w:val="0"/>
          <w:numId w:val="0"/>
        </w:numPr>
        <w:rPr>
          <w:rFonts w:ascii="Arial" w:hAnsi="Arial" w:cs="Arial"/>
          <w:b/>
          <w:sz w:val="22"/>
          <w:szCs w:val="22"/>
          <w:u w:val="single"/>
        </w:rPr>
      </w:pPr>
    </w:p>
    <w:p w14:paraId="104E26ED" w14:textId="77777777"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14:paraId="2138099F" w14:textId="77777777"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14:paraId="7DD5E316" w14:textId="77777777"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14:paraId="1175CA64" w14:textId="77777777" w:rsidR="00AA6E1C" w:rsidRPr="00E93FC6" w:rsidRDefault="00AA6E1C" w:rsidP="00CE7754">
      <w:pPr>
        <w:pStyle w:val="FWBL2"/>
        <w:numPr>
          <w:ilvl w:val="0"/>
          <w:numId w:val="0"/>
        </w:numPr>
        <w:ind w:left="993"/>
        <w:rPr>
          <w:rFonts w:ascii="Arial" w:hAnsi="Arial" w:cs="Arial"/>
          <w:color w:val="000000" w:themeColor="text1"/>
          <w:sz w:val="20"/>
        </w:rPr>
      </w:pPr>
    </w:p>
    <w:p w14:paraId="6EE21A7E" w14:textId="77777777"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14:paraId="731F4E81" w14:textId="77777777"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14:paraId="13139916" w14:textId="77777777"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14:paraId="71E49BF5" w14:textId="77777777"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14:paraId="6A400455" w14:textId="77777777"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DE5974">
        <w:rPr>
          <w:rFonts w:ascii="Arial" w:hAnsi="Arial" w:cs="Arial"/>
          <w:sz w:val="20"/>
        </w:rPr>
        <w:t>SME</w:t>
      </w:r>
      <w:r w:rsidR="00740021" w:rsidRPr="00646A4F">
        <w:rPr>
          <w:rFonts w:ascii="Arial" w:hAnsi="Arial" w:cs="Arial"/>
          <w:sz w:val="20"/>
        </w:rPr>
        <w:t xml:space="preserve"> </w:t>
      </w:r>
      <w:r w:rsidR="00B06B9E" w:rsidRPr="00646A4F">
        <w:rPr>
          <w:rFonts w:ascii="Arial" w:hAnsi="Arial" w:cs="Arial"/>
          <w:sz w:val="20"/>
        </w:rPr>
        <w:t>business or any of its employees in the past five years;</w:t>
      </w:r>
    </w:p>
    <w:p w14:paraId="34F3144F" w14:textId="77777777"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lastRenderedPageBreak/>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DE5974">
        <w:rPr>
          <w:rFonts w:ascii="Arial" w:hAnsi="Arial" w:cs="Arial"/>
          <w:sz w:val="20"/>
        </w:rPr>
        <w:t>SME</w:t>
      </w:r>
      <w:r w:rsidR="00164E06" w:rsidRPr="00646A4F">
        <w:rPr>
          <w:rFonts w:ascii="Arial" w:hAnsi="Arial" w:cs="Arial"/>
          <w:sz w:val="20"/>
        </w:rPr>
        <w:t xml:space="preserve"> 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14:paraId="6C5EF5F6" w14:textId="77777777"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E822E3">
        <w:rPr>
          <w:rFonts w:ascii="Arial" w:hAnsi="Arial" w:cs="Arial"/>
          <w:sz w:val="20"/>
        </w:rPr>
        <w:t>SME</w:t>
      </w:r>
      <w:r w:rsidR="00164E06" w:rsidRPr="00646A4F">
        <w:rPr>
          <w:rFonts w:ascii="Arial" w:hAnsi="Arial" w:cs="Arial"/>
          <w:sz w:val="20"/>
        </w:rPr>
        <w:t xml:space="preserve"> lending business; </w:t>
      </w:r>
    </w:p>
    <w:p w14:paraId="120EC15A" w14:textId="77777777"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DE5974">
        <w:rPr>
          <w:rFonts w:ascii="Arial" w:hAnsi="Arial" w:cs="Arial"/>
          <w:sz w:val="20"/>
        </w:rPr>
        <w:t>SME</w:t>
      </w:r>
      <w:r w:rsidR="00164E06" w:rsidRPr="00646A4F">
        <w:rPr>
          <w:rFonts w:ascii="Arial" w:hAnsi="Arial" w:cs="Arial"/>
          <w:sz w:val="20"/>
        </w:rPr>
        <w:t xml:space="preserve"> 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14:paraId="5B1C4B39" w14:textId="77777777" w:rsidR="00154150" w:rsidRDefault="00154150" w:rsidP="00154150">
      <w:pPr>
        <w:pStyle w:val="FWBL1"/>
        <w:numPr>
          <w:ilvl w:val="0"/>
          <w:numId w:val="0"/>
        </w:numPr>
        <w:ind w:left="360"/>
        <w:rPr>
          <w:rFonts w:ascii="Arial" w:hAnsi="Arial" w:cs="Arial"/>
          <w:smallCaps w:val="0"/>
          <w:szCs w:val="24"/>
        </w:rPr>
      </w:pPr>
    </w:p>
    <w:p w14:paraId="677EA604" w14:textId="77777777"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14:paraId="00B3DF45" w14:textId="77777777"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14:paraId="0F88F831" w14:textId="77777777"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w:t>
      </w:r>
      <w:r w:rsidR="00507074">
        <w:rPr>
          <w:rFonts w:ascii="Arial" w:hAnsi="Arial" w:cs="Arial"/>
          <w:color w:val="000000" w:themeColor="text1"/>
          <w:sz w:val="20"/>
        </w:rPr>
        <w:t xml:space="preserve"> If applicable, please outline the process for agreeing amendments and the frequency in which they have been agreed over the last five years.</w:t>
      </w:r>
    </w:p>
    <w:p w14:paraId="14A62408" w14:textId="77777777" w:rsidR="004A6615" w:rsidRDefault="004A661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Description of any pending, threatened or anticipated litigation that, if decided adversely, would impact the SME lending business.</w:t>
      </w:r>
    </w:p>
    <w:p w14:paraId="44C0F6AC" w14:textId="77777777"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2"/>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14:paraId="39C409AD" w14:textId="77777777"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14:paraId="30B40445" w14:textId="77777777"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14:paraId="05149D6B" w14:textId="77777777" w:rsidR="00CE7754" w:rsidRPr="001C3282"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14:paraId="02E7B6E4" w14:textId="77777777" w:rsidR="00415B30" w:rsidRPr="00415B30" w:rsidRDefault="00415B30" w:rsidP="00415B30">
      <w:pPr>
        <w:pStyle w:val="FWBL2"/>
        <w:numPr>
          <w:ilvl w:val="0"/>
          <w:numId w:val="0"/>
        </w:numPr>
        <w:ind w:left="993"/>
        <w:rPr>
          <w:rFonts w:ascii="Arial" w:hAnsi="Arial" w:cs="Arial"/>
          <w:color w:val="C00000"/>
          <w:sz w:val="20"/>
        </w:rPr>
      </w:pPr>
    </w:p>
    <w:p w14:paraId="4FF4FC8C" w14:textId="5D6B67B1" w:rsidR="002A4A20" w:rsidRPr="00BD2896" w:rsidRDefault="00754079" w:rsidP="00415B30">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t>BBLS</w:t>
      </w:r>
      <w:r w:rsidRPr="00BD2896">
        <w:rPr>
          <w:rFonts w:ascii="Arial" w:hAnsi="Arial" w:cs="Arial"/>
          <w:smallCaps w:val="0"/>
          <w:color w:val="000000" w:themeColor="text1"/>
          <w:szCs w:val="24"/>
        </w:rPr>
        <w:t xml:space="preserve"> </w:t>
      </w:r>
      <w:bookmarkStart w:id="0" w:name="_GoBack"/>
      <w:bookmarkEnd w:id="0"/>
      <w:r w:rsidR="002A4A20" w:rsidRPr="00BD2896">
        <w:rPr>
          <w:rFonts w:ascii="Arial" w:hAnsi="Arial" w:cs="Arial"/>
          <w:smallCaps w:val="0"/>
          <w:color w:val="000000" w:themeColor="text1"/>
          <w:szCs w:val="24"/>
        </w:rPr>
        <w:t>Lending Policy Summary</w:t>
      </w:r>
    </w:p>
    <w:p w14:paraId="048969EB" w14:textId="77777777"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14:paraId="018BC04D" w14:textId="77777777" w:rsidTr="006C58A9">
        <w:trPr>
          <w:trHeight w:val="568"/>
        </w:trPr>
        <w:tc>
          <w:tcPr>
            <w:tcW w:w="2704" w:type="dxa"/>
            <w:shd w:val="clear" w:color="auto" w:fill="403152" w:themeFill="accent4" w:themeFillShade="80"/>
            <w:vAlign w:val="center"/>
          </w:tcPr>
          <w:p w14:paraId="26B114CB"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14:paraId="727780F7"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14:paraId="6D9B8009"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w:t>
            </w:r>
            <w:r w:rsidR="00563F7B">
              <w:rPr>
                <w:rFonts w:ascii="Calibri" w:hAnsi="Calibri" w:cs="Calibri"/>
                <w:b/>
                <w:color w:val="FFFFFF" w:themeColor="background1"/>
              </w:rPr>
              <w:t>8</w:t>
            </w:r>
          </w:p>
        </w:tc>
      </w:tr>
      <w:tr w:rsidR="00563F7B" w:rsidRPr="00B5652E" w14:paraId="2CA7DCDB" w14:textId="77777777" w:rsidTr="006C58A9">
        <w:trPr>
          <w:trHeight w:val="386"/>
        </w:trPr>
        <w:tc>
          <w:tcPr>
            <w:tcW w:w="2704" w:type="dxa"/>
            <w:shd w:val="clear" w:color="auto" w:fill="auto"/>
            <w:vAlign w:val="center"/>
          </w:tcPr>
          <w:p w14:paraId="695CF428" w14:textId="77777777" w:rsidR="00563F7B" w:rsidRPr="003E5FFC" w:rsidRDefault="00563F7B" w:rsidP="00563F7B">
            <w:pPr>
              <w:jc w:val="center"/>
              <w:rPr>
                <w:rFonts w:ascii="Calibri" w:hAnsi="Calibri" w:cs="Calibri"/>
                <w:b/>
                <w:color w:val="000000" w:themeColor="text1"/>
              </w:rPr>
            </w:pPr>
            <w:r>
              <w:rPr>
                <w:rFonts w:ascii="Calibri" w:hAnsi="Calibri" w:cs="Calibri"/>
                <w:b/>
                <w:color w:val="000000" w:themeColor="text1"/>
              </w:rPr>
              <w:t>Eligibly SME industries</w:t>
            </w:r>
          </w:p>
        </w:tc>
        <w:tc>
          <w:tcPr>
            <w:tcW w:w="3402" w:type="dxa"/>
            <w:shd w:val="clear" w:color="auto" w:fill="auto"/>
            <w:vAlign w:val="center"/>
          </w:tcPr>
          <w:p w14:paraId="2E0F867D" w14:textId="77777777" w:rsidR="00563F7B" w:rsidRDefault="00563F7B" w:rsidP="00BC51B5">
            <w:pPr>
              <w:jc w:val="center"/>
              <w:rPr>
                <w:rFonts w:ascii="Calibri" w:hAnsi="Calibri" w:cs="Calibri"/>
                <w:color w:val="000000"/>
              </w:rPr>
            </w:pPr>
            <w:r>
              <w:rPr>
                <w:rFonts w:ascii="Calibri" w:hAnsi="Calibri" w:cs="Calibri"/>
                <w:color w:val="000000"/>
              </w:rPr>
              <w:t>Professional BTL</w:t>
            </w:r>
          </w:p>
          <w:p w14:paraId="24A73431" w14:textId="77777777" w:rsidR="00563F7B" w:rsidRDefault="00563F7B" w:rsidP="00BC51B5">
            <w:pPr>
              <w:jc w:val="center"/>
              <w:rPr>
                <w:rFonts w:ascii="Calibri" w:hAnsi="Calibri" w:cs="Calibri"/>
                <w:color w:val="000000"/>
              </w:rPr>
            </w:pPr>
            <w:r>
              <w:rPr>
                <w:rFonts w:ascii="Calibri" w:hAnsi="Calibri" w:cs="Calibri"/>
                <w:color w:val="000000"/>
              </w:rPr>
              <w:t>Retail</w:t>
            </w:r>
          </w:p>
          <w:p w14:paraId="3D89F9EB" w14:textId="77777777" w:rsidR="00563F7B" w:rsidRDefault="00563F7B" w:rsidP="00BC51B5">
            <w:pPr>
              <w:jc w:val="center"/>
              <w:rPr>
                <w:rFonts w:ascii="Calibri" w:hAnsi="Calibri" w:cs="Calibri"/>
                <w:color w:val="000000"/>
              </w:rPr>
            </w:pPr>
            <w:r>
              <w:rPr>
                <w:rFonts w:ascii="Calibri" w:hAnsi="Calibri" w:cs="Calibri"/>
                <w:color w:val="000000"/>
              </w:rPr>
              <w:t>Office Space</w:t>
            </w:r>
          </w:p>
          <w:p w14:paraId="71457619" w14:textId="77777777" w:rsidR="00563F7B" w:rsidRDefault="00563F7B" w:rsidP="00BC51B5">
            <w:pPr>
              <w:jc w:val="center"/>
              <w:rPr>
                <w:rFonts w:ascii="Calibri" w:hAnsi="Calibri" w:cs="Calibri"/>
                <w:color w:val="000000"/>
              </w:rPr>
            </w:pPr>
            <w:r>
              <w:rPr>
                <w:rFonts w:ascii="Calibri" w:hAnsi="Calibri" w:cs="Calibri"/>
                <w:color w:val="000000"/>
              </w:rPr>
              <w:t>Nursing Homes</w:t>
            </w:r>
          </w:p>
        </w:tc>
        <w:tc>
          <w:tcPr>
            <w:tcW w:w="3260" w:type="dxa"/>
          </w:tcPr>
          <w:p w14:paraId="10D09319" w14:textId="77777777" w:rsidR="00563F7B" w:rsidRPr="00B5652E" w:rsidRDefault="00563F7B" w:rsidP="0041441E">
            <w:pPr>
              <w:jc w:val="center"/>
              <w:rPr>
                <w:rFonts w:ascii="Calibri" w:hAnsi="Calibri" w:cs="Calibri"/>
                <w:color w:val="000000" w:themeColor="text1"/>
              </w:rPr>
            </w:pPr>
          </w:p>
        </w:tc>
      </w:tr>
      <w:tr w:rsidR="002A4A20" w:rsidRPr="00B5652E" w14:paraId="22EA79AF" w14:textId="77777777" w:rsidTr="006C58A9">
        <w:trPr>
          <w:trHeight w:val="386"/>
        </w:trPr>
        <w:tc>
          <w:tcPr>
            <w:tcW w:w="2704" w:type="dxa"/>
            <w:shd w:val="clear" w:color="auto" w:fill="auto"/>
            <w:vAlign w:val="center"/>
          </w:tcPr>
          <w:p w14:paraId="3ED08EEE"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14:paraId="62082457" w14:textId="7C75C78A" w:rsidR="002A4A20" w:rsidRDefault="00DD5CC2" w:rsidP="00004755">
            <w:pPr>
              <w:jc w:val="center"/>
              <w:rPr>
                <w:rFonts w:ascii="Calibri" w:hAnsi="Calibri" w:cs="Calibri"/>
                <w:color w:val="000000"/>
              </w:rPr>
            </w:pPr>
            <w:r>
              <w:rPr>
                <w:rFonts w:ascii="Calibri" w:hAnsi="Calibri" w:cs="Calibri"/>
                <w:color w:val="000000"/>
              </w:rPr>
              <w:t>£</w:t>
            </w:r>
            <w:r w:rsidR="00004755">
              <w:rPr>
                <w:rFonts w:ascii="Calibri" w:hAnsi="Calibri" w:cs="Calibri"/>
                <w:color w:val="000000"/>
              </w:rPr>
              <w:t>50,000</w:t>
            </w:r>
          </w:p>
        </w:tc>
        <w:tc>
          <w:tcPr>
            <w:tcW w:w="3260" w:type="dxa"/>
          </w:tcPr>
          <w:p w14:paraId="6D66FC50" w14:textId="77777777" w:rsidR="002A4A20" w:rsidRPr="00B5652E" w:rsidRDefault="002A4A20" w:rsidP="0041441E">
            <w:pPr>
              <w:jc w:val="center"/>
              <w:rPr>
                <w:rFonts w:ascii="Calibri" w:hAnsi="Calibri" w:cs="Calibri"/>
                <w:color w:val="000000" w:themeColor="text1"/>
              </w:rPr>
            </w:pPr>
          </w:p>
        </w:tc>
      </w:tr>
      <w:tr w:rsidR="00563F7B" w:rsidRPr="00B5652E" w14:paraId="70D66D65" w14:textId="77777777" w:rsidTr="006C58A9">
        <w:trPr>
          <w:trHeight w:val="808"/>
        </w:trPr>
        <w:tc>
          <w:tcPr>
            <w:tcW w:w="2704" w:type="dxa"/>
            <w:shd w:val="clear" w:color="auto" w:fill="auto"/>
            <w:vAlign w:val="center"/>
          </w:tcPr>
          <w:p w14:paraId="6ED95DA9" w14:textId="5970ACED" w:rsidR="00563F7B" w:rsidRPr="003E5FFC" w:rsidRDefault="00563F7B" w:rsidP="00CA3517">
            <w:pPr>
              <w:jc w:val="center"/>
              <w:rPr>
                <w:rFonts w:ascii="Calibri" w:hAnsi="Calibri" w:cs="Calibri"/>
                <w:b/>
                <w:color w:val="000000" w:themeColor="text1"/>
              </w:rPr>
            </w:pPr>
            <w:r>
              <w:rPr>
                <w:rFonts w:ascii="Calibri" w:hAnsi="Calibri" w:cs="Calibri"/>
                <w:b/>
                <w:color w:val="000000" w:themeColor="text1"/>
              </w:rPr>
              <w:t>Maximum leverage</w:t>
            </w:r>
          </w:p>
        </w:tc>
        <w:tc>
          <w:tcPr>
            <w:tcW w:w="3402" w:type="dxa"/>
            <w:shd w:val="clear" w:color="auto" w:fill="auto"/>
            <w:vAlign w:val="center"/>
          </w:tcPr>
          <w:p w14:paraId="23EB08D1" w14:textId="1A618BC6" w:rsidR="00563F7B" w:rsidRDefault="00563F7B" w:rsidP="0041441E">
            <w:pPr>
              <w:jc w:val="center"/>
              <w:rPr>
                <w:rFonts w:ascii="Calibri" w:hAnsi="Calibri" w:cs="Calibri"/>
                <w:color w:val="000000"/>
              </w:rPr>
            </w:pPr>
            <w:r>
              <w:rPr>
                <w:rFonts w:ascii="Calibri" w:hAnsi="Calibri" w:cs="Calibri"/>
                <w:color w:val="000000"/>
              </w:rPr>
              <w:t>Sustainable EBITDA</w:t>
            </w:r>
          </w:p>
          <w:p w14:paraId="0ABE0D79" w14:textId="77777777" w:rsidR="00563F7B" w:rsidRDefault="00563F7B" w:rsidP="0041441E">
            <w:pPr>
              <w:jc w:val="center"/>
              <w:rPr>
                <w:rFonts w:ascii="Calibri" w:hAnsi="Calibri" w:cs="Calibri"/>
                <w:color w:val="000000"/>
              </w:rPr>
            </w:pPr>
            <w:r>
              <w:rPr>
                <w:rFonts w:ascii="Calibri" w:hAnsi="Calibri" w:cs="Calibri"/>
                <w:color w:val="000000"/>
              </w:rPr>
              <w:t>2x unsecured</w:t>
            </w:r>
          </w:p>
          <w:p w14:paraId="3817A2BD" w14:textId="77777777" w:rsidR="00563F7B" w:rsidRDefault="00563F7B" w:rsidP="0041441E">
            <w:pPr>
              <w:jc w:val="center"/>
              <w:rPr>
                <w:rFonts w:ascii="Calibri" w:hAnsi="Calibri" w:cs="Calibri"/>
                <w:color w:val="000000"/>
              </w:rPr>
            </w:pPr>
            <w:r>
              <w:rPr>
                <w:rFonts w:ascii="Calibri" w:hAnsi="Calibri" w:cs="Calibri"/>
                <w:color w:val="000000"/>
              </w:rPr>
              <w:t>8x secured</w:t>
            </w:r>
          </w:p>
        </w:tc>
        <w:tc>
          <w:tcPr>
            <w:tcW w:w="3260" w:type="dxa"/>
          </w:tcPr>
          <w:p w14:paraId="7DCB06F2" w14:textId="77777777" w:rsidR="00563F7B" w:rsidRPr="00B5652E" w:rsidRDefault="00563F7B" w:rsidP="0041441E">
            <w:pPr>
              <w:jc w:val="center"/>
              <w:rPr>
                <w:rFonts w:ascii="Calibri" w:hAnsi="Calibri" w:cs="Calibri"/>
                <w:color w:val="000000" w:themeColor="text1"/>
              </w:rPr>
            </w:pPr>
          </w:p>
        </w:tc>
      </w:tr>
      <w:tr w:rsidR="00563F7B" w:rsidRPr="00B5652E" w14:paraId="1E7DE5C5" w14:textId="77777777" w:rsidTr="006C58A9">
        <w:trPr>
          <w:trHeight w:val="808"/>
        </w:trPr>
        <w:tc>
          <w:tcPr>
            <w:tcW w:w="2704" w:type="dxa"/>
            <w:shd w:val="clear" w:color="auto" w:fill="auto"/>
            <w:vAlign w:val="center"/>
          </w:tcPr>
          <w:p w14:paraId="6D2FA2B7" w14:textId="1700B5A7" w:rsidR="00563F7B" w:rsidRPr="003E5FFC" w:rsidRDefault="00563F7B" w:rsidP="00CA3517">
            <w:pPr>
              <w:jc w:val="center"/>
              <w:rPr>
                <w:rFonts w:ascii="Calibri" w:hAnsi="Calibri" w:cs="Calibri"/>
                <w:b/>
                <w:color w:val="000000" w:themeColor="text1"/>
              </w:rPr>
            </w:pPr>
            <w:r>
              <w:rPr>
                <w:rFonts w:ascii="Calibri" w:hAnsi="Calibri" w:cs="Calibri"/>
                <w:b/>
                <w:color w:val="000000" w:themeColor="text1"/>
              </w:rPr>
              <w:lastRenderedPageBreak/>
              <w:t>Minimum Debt Service Coverage Ratio</w:t>
            </w:r>
          </w:p>
        </w:tc>
        <w:tc>
          <w:tcPr>
            <w:tcW w:w="3402" w:type="dxa"/>
            <w:shd w:val="clear" w:color="auto" w:fill="auto"/>
            <w:vAlign w:val="center"/>
          </w:tcPr>
          <w:p w14:paraId="57823D64" w14:textId="41B597E6" w:rsidR="00563F7B" w:rsidRDefault="00563F7B" w:rsidP="0041441E">
            <w:pPr>
              <w:jc w:val="center"/>
              <w:rPr>
                <w:rFonts w:ascii="Calibri" w:hAnsi="Calibri" w:cs="Calibri"/>
                <w:color w:val="000000"/>
              </w:rPr>
            </w:pPr>
            <w:r>
              <w:rPr>
                <w:rFonts w:ascii="Calibri" w:hAnsi="Calibri" w:cs="Calibri"/>
                <w:color w:val="000000"/>
              </w:rPr>
              <w:t>1.3x (net cash flow)</w:t>
            </w:r>
          </w:p>
          <w:p w14:paraId="3A7A095C" w14:textId="77777777" w:rsidR="00563F7B" w:rsidRDefault="00563F7B" w:rsidP="0041441E">
            <w:pPr>
              <w:jc w:val="center"/>
              <w:rPr>
                <w:rFonts w:ascii="Calibri" w:hAnsi="Calibri" w:cs="Calibri"/>
                <w:color w:val="000000"/>
              </w:rPr>
            </w:pPr>
            <w:r>
              <w:rPr>
                <w:rFonts w:ascii="Calibri" w:hAnsi="Calibri" w:cs="Calibri"/>
                <w:color w:val="000000"/>
              </w:rPr>
              <w:t>1.4x EBITDA</w:t>
            </w:r>
          </w:p>
        </w:tc>
        <w:tc>
          <w:tcPr>
            <w:tcW w:w="3260" w:type="dxa"/>
          </w:tcPr>
          <w:p w14:paraId="76C5D4B4" w14:textId="77777777" w:rsidR="00563F7B" w:rsidRPr="00B5652E" w:rsidRDefault="00563F7B" w:rsidP="0041441E">
            <w:pPr>
              <w:jc w:val="center"/>
              <w:rPr>
                <w:rFonts w:ascii="Calibri" w:hAnsi="Calibri" w:cs="Calibri"/>
                <w:color w:val="000000" w:themeColor="text1"/>
              </w:rPr>
            </w:pPr>
          </w:p>
        </w:tc>
      </w:tr>
      <w:tr w:rsidR="006C58A9" w:rsidRPr="00B5652E" w14:paraId="4671221B" w14:textId="77777777" w:rsidTr="006C58A9">
        <w:trPr>
          <w:trHeight w:val="833"/>
        </w:trPr>
        <w:tc>
          <w:tcPr>
            <w:tcW w:w="2704" w:type="dxa"/>
            <w:shd w:val="clear" w:color="auto" w:fill="auto"/>
            <w:vAlign w:val="center"/>
          </w:tcPr>
          <w:p w14:paraId="284D1C84" w14:textId="77777777" w:rsidR="006C58A9" w:rsidRPr="003E5FFC" w:rsidRDefault="00CA3517" w:rsidP="00CA3517">
            <w:pPr>
              <w:jc w:val="center"/>
              <w:rPr>
                <w:rFonts w:ascii="Calibri" w:hAnsi="Calibri" w:cs="Calibri"/>
                <w:b/>
                <w:color w:val="000000" w:themeColor="text1"/>
              </w:rPr>
            </w:pPr>
            <w:r>
              <w:rPr>
                <w:rFonts w:ascii="Calibri" w:hAnsi="Calibri" w:cs="Calibri"/>
                <w:b/>
                <w:color w:val="000000" w:themeColor="text1"/>
              </w:rPr>
              <w:t>Minimum business track record</w:t>
            </w:r>
          </w:p>
        </w:tc>
        <w:tc>
          <w:tcPr>
            <w:tcW w:w="3402" w:type="dxa"/>
            <w:shd w:val="clear" w:color="auto" w:fill="auto"/>
            <w:vAlign w:val="center"/>
          </w:tcPr>
          <w:p w14:paraId="314BAFBF" w14:textId="77777777" w:rsidR="006C58A9" w:rsidRDefault="006C58A9" w:rsidP="00AC1344">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14:paraId="3FA20A47" w14:textId="77777777" w:rsidR="006C58A9" w:rsidRPr="00B5652E" w:rsidRDefault="006C58A9" w:rsidP="0041441E">
            <w:pPr>
              <w:jc w:val="center"/>
              <w:rPr>
                <w:rFonts w:ascii="Calibri" w:hAnsi="Calibri" w:cs="Calibri"/>
                <w:color w:val="000000" w:themeColor="text1"/>
              </w:rPr>
            </w:pPr>
          </w:p>
        </w:tc>
      </w:tr>
      <w:tr w:rsidR="006C58A9" w:rsidRPr="00B5652E" w14:paraId="766AD2DF" w14:textId="77777777" w:rsidTr="006C58A9">
        <w:trPr>
          <w:trHeight w:val="735"/>
        </w:trPr>
        <w:tc>
          <w:tcPr>
            <w:tcW w:w="2704" w:type="dxa"/>
            <w:shd w:val="clear" w:color="auto" w:fill="auto"/>
            <w:vAlign w:val="center"/>
          </w:tcPr>
          <w:p w14:paraId="7D363741" w14:textId="77777777"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14:paraId="23F2A377" w14:textId="77777777"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14:paraId="2E75C09B" w14:textId="77777777" w:rsidR="006C58A9" w:rsidRPr="00B5652E" w:rsidRDefault="006C58A9" w:rsidP="00606407">
            <w:pPr>
              <w:jc w:val="center"/>
              <w:rPr>
                <w:rFonts w:ascii="Calibri" w:hAnsi="Calibri" w:cs="Calibri"/>
                <w:color w:val="000000" w:themeColor="text1"/>
              </w:rPr>
            </w:pPr>
          </w:p>
        </w:tc>
      </w:tr>
      <w:tr w:rsidR="006C58A9" w:rsidRPr="00B5652E" w14:paraId="6E41C835" w14:textId="77777777" w:rsidTr="006C58A9">
        <w:trPr>
          <w:trHeight w:val="506"/>
        </w:trPr>
        <w:tc>
          <w:tcPr>
            <w:tcW w:w="2704" w:type="dxa"/>
            <w:shd w:val="clear" w:color="auto" w:fill="auto"/>
            <w:vAlign w:val="center"/>
          </w:tcPr>
          <w:p w14:paraId="7B28A9AC" w14:textId="77777777"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14:paraId="620224A4" w14:textId="77777777"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14:paraId="07449CD8" w14:textId="77777777" w:rsidR="006C58A9" w:rsidRPr="00B5652E" w:rsidRDefault="006C58A9" w:rsidP="00606407">
            <w:pPr>
              <w:jc w:val="center"/>
              <w:rPr>
                <w:rFonts w:ascii="Calibri" w:hAnsi="Calibri" w:cs="Calibri"/>
                <w:color w:val="000000" w:themeColor="text1"/>
              </w:rPr>
            </w:pPr>
          </w:p>
        </w:tc>
      </w:tr>
    </w:tbl>
    <w:p w14:paraId="656A8A5F" w14:textId="77777777" w:rsidR="000E16E5" w:rsidRDefault="000E16E5" w:rsidP="00222B4F">
      <w:pPr>
        <w:pStyle w:val="FWBL2"/>
        <w:numPr>
          <w:ilvl w:val="0"/>
          <w:numId w:val="0"/>
        </w:numPr>
        <w:rPr>
          <w:rFonts w:asciiTheme="minorHAnsi" w:hAnsiTheme="minorHAnsi" w:cstheme="minorHAnsi"/>
          <w:sz w:val="2"/>
          <w:szCs w:val="2"/>
        </w:rPr>
      </w:pPr>
    </w:p>
    <w:p w14:paraId="434B5054" w14:textId="77777777" w:rsidR="00DD6DC8" w:rsidRPr="00E93FC6" w:rsidRDefault="00DD6DC8" w:rsidP="00222B4F">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footerReference w:type="default" r:id="rId13"/>
      <w:headerReference w:type="first" r:id="rId14"/>
      <w:footerReference w:type="first" r:id="rId15"/>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3342" w14:textId="77777777" w:rsidR="001E0510" w:rsidRDefault="001E0510" w:rsidP="00DC0888">
      <w:r>
        <w:separator/>
      </w:r>
    </w:p>
  </w:endnote>
  <w:endnote w:type="continuationSeparator" w:id="0">
    <w:p w14:paraId="7B5B2F89" w14:textId="77777777" w:rsidR="001E0510" w:rsidRDefault="001E0510" w:rsidP="00DC0888">
      <w:r>
        <w:continuationSeparator/>
      </w:r>
    </w:p>
  </w:endnote>
  <w:endnote w:type="continuationNotice" w:id="1">
    <w:p w14:paraId="2FA20E10" w14:textId="77777777" w:rsidR="001E0510" w:rsidRDefault="001E0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5969" w14:textId="77777777" w:rsidR="006E6669" w:rsidRDefault="006E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A688" w14:textId="77777777" w:rsidR="00D67EA2" w:rsidRPr="00CB66AE" w:rsidRDefault="00D67EA2">
    <w:pPr>
      <w:pStyle w:val="Footer"/>
      <w:rPr>
        <w:sz w:val="14"/>
        <w:szCs w:val="14"/>
      </w:rPr>
    </w:pPr>
  </w:p>
  <w:p w14:paraId="783664E7" w14:textId="77777777"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6EC4" w14:textId="77777777" w:rsidR="001E0510" w:rsidRDefault="001E0510" w:rsidP="00DC0888">
      <w:r>
        <w:separator/>
      </w:r>
    </w:p>
  </w:footnote>
  <w:footnote w:type="continuationSeparator" w:id="0">
    <w:p w14:paraId="1CEC4961" w14:textId="77777777" w:rsidR="001E0510" w:rsidRDefault="001E0510" w:rsidP="00DC0888">
      <w:r>
        <w:continuationSeparator/>
      </w:r>
    </w:p>
  </w:footnote>
  <w:footnote w:type="continuationNotice" w:id="1">
    <w:p w14:paraId="1CE0E0D8" w14:textId="77777777" w:rsidR="001E0510" w:rsidRDefault="001E0510"/>
  </w:footnote>
  <w:footnote w:id="2">
    <w:p w14:paraId="5604D6E8" w14:textId="77777777" w:rsidR="009E0FD7" w:rsidRDefault="009E0FD7">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03F2" w14:textId="77777777"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8544E6">
      <w:rPr>
        <w:rStyle w:val="PageNumber"/>
        <w:noProof/>
        <w:sz w:val="17"/>
        <w:szCs w:val="17"/>
      </w:rPr>
      <w:t>4</w:t>
    </w:r>
    <w:r w:rsidRPr="00CB66AE">
      <w:rPr>
        <w:rStyle w:val="PageNumber"/>
        <w:sz w:val="17"/>
        <w:szCs w:val="17"/>
      </w:rPr>
      <w:fldChar w:fldCharType="end"/>
    </w:r>
  </w:p>
  <w:p w14:paraId="57F12CF6" w14:textId="77777777"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70C8" w14:textId="64E8E3DA"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365828">
      <w:rPr>
        <w:rStyle w:val="PageNumber"/>
        <w:noProof/>
        <w:sz w:val="21"/>
        <w:szCs w:val="21"/>
      </w:rPr>
      <w:t>7</w:t>
    </w:r>
    <w:r w:rsidRPr="00CB66AE">
      <w:rPr>
        <w:rStyle w:val="PageNumber"/>
        <w:sz w:val="21"/>
        <w:szCs w:val="21"/>
      </w:rPr>
      <w:fldChar w:fldCharType="end"/>
    </w:r>
  </w:p>
  <w:p w14:paraId="2F2C7649" w14:textId="77777777"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14:paraId="4479B1ED" w14:textId="77777777" w:rsidTr="00E93FC6">
      <w:trPr>
        <w:trHeight w:val="1141"/>
      </w:trPr>
      <w:tc>
        <w:tcPr>
          <w:tcW w:w="6629" w:type="dxa"/>
        </w:tcPr>
        <w:p w14:paraId="4B22D03C" w14:textId="77777777" w:rsidR="00D67EA2" w:rsidRDefault="00D67EA2" w:rsidP="0041441E">
          <w:pPr>
            <w:spacing w:line="276" w:lineRule="auto"/>
          </w:pPr>
          <w:r>
            <w:rPr>
              <w:noProof/>
            </w:rPr>
            <w:drawing>
              <wp:anchor distT="0" distB="0" distL="114300" distR="114300" simplePos="0" relativeHeight="251659264" behindDoc="0" locked="0" layoutInCell="1" allowOverlap="1" wp14:anchorId="1DD30F5D" wp14:editId="4501180F">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14:paraId="119B6ED5" w14:textId="77777777" w:rsidR="00D67EA2" w:rsidRPr="00454014" w:rsidRDefault="00D67EA2" w:rsidP="0041441E">
          <w:pPr>
            <w:rPr>
              <w:rFonts w:cs="Arial"/>
              <w:b/>
              <w:sz w:val="36"/>
              <w:szCs w:val="36"/>
            </w:rPr>
          </w:pPr>
        </w:p>
        <w:p w14:paraId="12F79D79" w14:textId="77777777"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14:paraId="4060F85C" w14:textId="77777777" w:rsidR="00D67EA2" w:rsidRPr="00D54455" w:rsidRDefault="00D67EA2" w:rsidP="0041441E">
          <w:pPr>
            <w:spacing w:line="276" w:lineRule="auto"/>
            <w:rPr>
              <w:rFonts w:cs="Arial"/>
              <w:sz w:val="18"/>
              <w:szCs w:val="18"/>
            </w:rPr>
          </w:pPr>
          <w:r w:rsidRPr="00D54455">
            <w:rPr>
              <w:rFonts w:cs="Arial"/>
              <w:sz w:val="18"/>
              <w:szCs w:val="18"/>
            </w:rPr>
            <w:t>Threadneedle Street</w:t>
          </w:r>
        </w:p>
        <w:p w14:paraId="6324AD3F" w14:textId="77777777"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14:paraId="11174333" w14:textId="77777777" w:rsidR="00D67EA2" w:rsidRPr="001D76D7" w:rsidRDefault="00D67EA2" w:rsidP="0041441E">
          <w:pPr>
            <w:spacing w:line="276" w:lineRule="auto"/>
            <w:rPr>
              <w:rFonts w:cs="Arial"/>
              <w:b/>
              <w:sz w:val="18"/>
              <w:szCs w:val="18"/>
            </w:rPr>
          </w:pPr>
        </w:p>
      </w:tc>
    </w:tr>
  </w:tbl>
  <w:p w14:paraId="0BABA5FF" w14:textId="77777777"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4755"/>
    <w:rsid w:val="00005482"/>
    <w:rsid w:val="000070D5"/>
    <w:rsid w:val="00016939"/>
    <w:rsid w:val="00023261"/>
    <w:rsid w:val="00024CD7"/>
    <w:rsid w:val="0002566C"/>
    <w:rsid w:val="00033DF4"/>
    <w:rsid w:val="000348D3"/>
    <w:rsid w:val="00035CD9"/>
    <w:rsid w:val="00042912"/>
    <w:rsid w:val="00044203"/>
    <w:rsid w:val="00050CD3"/>
    <w:rsid w:val="00051C71"/>
    <w:rsid w:val="00051F2B"/>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743"/>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D7E69"/>
    <w:rsid w:val="000E16E5"/>
    <w:rsid w:val="000E1F9B"/>
    <w:rsid w:val="000E54D3"/>
    <w:rsid w:val="000E553D"/>
    <w:rsid w:val="000F226C"/>
    <w:rsid w:val="000F556E"/>
    <w:rsid w:val="00100008"/>
    <w:rsid w:val="00100111"/>
    <w:rsid w:val="0010324F"/>
    <w:rsid w:val="00103FC1"/>
    <w:rsid w:val="0010744F"/>
    <w:rsid w:val="00110036"/>
    <w:rsid w:val="00111081"/>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53C8"/>
    <w:rsid w:val="001456DE"/>
    <w:rsid w:val="00146C91"/>
    <w:rsid w:val="00154150"/>
    <w:rsid w:val="0015551D"/>
    <w:rsid w:val="00157493"/>
    <w:rsid w:val="001605BC"/>
    <w:rsid w:val="00161881"/>
    <w:rsid w:val="00161A6C"/>
    <w:rsid w:val="00164E06"/>
    <w:rsid w:val="0016533E"/>
    <w:rsid w:val="00165764"/>
    <w:rsid w:val="00165F24"/>
    <w:rsid w:val="00166601"/>
    <w:rsid w:val="001673D5"/>
    <w:rsid w:val="00167D30"/>
    <w:rsid w:val="00170ABC"/>
    <w:rsid w:val="001712F6"/>
    <w:rsid w:val="00174AD4"/>
    <w:rsid w:val="00177EC6"/>
    <w:rsid w:val="00180BBF"/>
    <w:rsid w:val="001821D9"/>
    <w:rsid w:val="001835FD"/>
    <w:rsid w:val="00183BBB"/>
    <w:rsid w:val="00184BC4"/>
    <w:rsid w:val="00187E13"/>
    <w:rsid w:val="001904FD"/>
    <w:rsid w:val="0019089D"/>
    <w:rsid w:val="001911FD"/>
    <w:rsid w:val="00192434"/>
    <w:rsid w:val="00195231"/>
    <w:rsid w:val="001959A1"/>
    <w:rsid w:val="0019742D"/>
    <w:rsid w:val="0019764F"/>
    <w:rsid w:val="001A0789"/>
    <w:rsid w:val="001A20A6"/>
    <w:rsid w:val="001A7304"/>
    <w:rsid w:val="001B0AA9"/>
    <w:rsid w:val="001B2EBF"/>
    <w:rsid w:val="001B3103"/>
    <w:rsid w:val="001B3C74"/>
    <w:rsid w:val="001B4B8A"/>
    <w:rsid w:val="001C02DB"/>
    <w:rsid w:val="001C1396"/>
    <w:rsid w:val="001C3282"/>
    <w:rsid w:val="001D0317"/>
    <w:rsid w:val="001D0954"/>
    <w:rsid w:val="001D267E"/>
    <w:rsid w:val="001D2707"/>
    <w:rsid w:val="001D3934"/>
    <w:rsid w:val="001D556E"/>
    <w:rsid w:val="001D6EEE"/>
    <w:rsid w:val="001D76D7"/>
    <w:rsid w:val="001E0510"/>
    <w:rsid w:val="001E226E"/>
    <w:rsid w:val="001F0E24"/>
    <w:rsid w:val="00213480"/>
    <w:rsid w:val="002135FF"/>
    <w:rsid w:val="00213EFB"/>
    <w:rsid w:val="00214505"/>
    <w:rsid w:val="00214DAA"/>
    <w:rsid w:val="002151D8"/>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452A"/>
    <w:rsid w:val="002951DF"/>
    <w:rsid w:val="0029568E"/>
    <w:rsid w:val="00296EF3"/>
    <w:rsid w:val="002A1217"/>
    <w:rsid w:val="002A4A20"/>
    <w:rsid w:val="002A546E"/>
    <w:rsid w:val="002B4969"/>
    <w:rsid w:val="002B6E0B"/>
    <w:rsid w:val="002B7199"/>
    <w:rsid w:val="002C0068"/>
    <w:rsid w:val="002C24B6"/>
    <w:rsid w:val="002D0417"/>
    <w:rsid w:val="002D09E5"/>
    <w:rsid w:val="002D1D37"/>
    <w:rsid w:val="002D4CFE"/>
    <w:rsid w:val="002E098D"/>
    <w:rsid w:val="002E1DE0"/>
    <w:rsid w:val="002E24BC"/>
    <w:rsid w:val="002E335D"/>
    <w:rsid w:val="002E4680"/>
    <w:rsid w:val="002E560D"/>
    <w:rsid w:val="002E6084"/>
    <w:rsid w:val="002E60C4"/>
    <w:rsid w:val="002E62B5"/>
    <w:rsid w:val="002E762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37350"/>
    <w:rsid w:val="003427DE"/>
    <w:rsid w:val="00347663"/>
    <w:rsid w:val="00351F15"/>
    <w:rsid w:val="00352574"/>
    <w:rsid w:val="00356156"/>
    <w:rsid w:val="00356A17"/>
    <w:rsid w:val="003606C9"/>
    <w:rsid w:val="003620D5"/>
    <w:rsid w:val="00362BB1"/>
    <w:rsid w:val="00365828"/>
    <w:rsid w:val="00366B35"/>
    <w:rsid w:val="003700B0"/>
    <w:rsid w:val="00372CC6"/>
    <w:rsid w:val="00380EA0"/>
    <w:rsid w:val="00381F62"/>
    <w:rsid w:val="00383C81"/>
    <w:rsid w:val="00387353"/>
    <w:rsid w:val="003926BF"/>
    <w:rsid w:val="003978E1"/>
    <w:rsid w:val="003A22ED"/>
    <w:rsid w:val="003A2EF0"/>
    <w:rsid w:val="003A3F2B"/>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246E"/>
    <w:rsid w:val="004031F0"/>
    <w:rsid w:val="004033FA"/>
    <w:rsid w:val="00406724"/>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6271"/>
    <w:rsid w:val="00497975"/>
    <w:rsid w:val="004A0A95"/>
    <w:rsid w:val="004A1051"/>
    <w:rsid w:val="004A20C1"/>
    <w:rsid w:val="004A52AF"/>
    <w:rsid w:val="004A6615"/>
    <w:rsid w:val="004A6DC8"/>
    <w:rsid w:val="004A732E"/>
    <w:rsid w:val="004A7E9B"/>
    <w:rsid w:val="004B0A76"/>
    <w:rsid w:val="004B5F56"/>
    <w:rsid w:val="004C02FC"/>
    <w:rsid w:val="004C07A5"/>
    <w:rsid w:val="004C11B1"/>
    <w:rsid w:val="004C14BE"/>
    <w:rsid w:val="004C46AE"/>
    <w:rsid w:val="004C59A2"/>
    <w:rsid w:val="004C7D7B"/>
    <w:rsid w:val="004D1310"/>
    <w:rsid w:val="004D2B3D"/>
    <w:rsid w:val="004D6E54"/>
    <w:rsid w:val="004E16DA"/>
    <w:rsid w:val="004E1B37"/>
    <w:rsid w:val="004E6DD3"/>
    <w:rsid w:val="004F16E5"/>
    <w:rsid w:val="004F3D53"/>
    <w:rsid w:val="004F4938"/>
    <w:rsid w:val="004F70A2"/>
    <w:rsid w:val="00505F67"/>
    <w:rsid w:val="00507074"/>
    <w:rsid w:val="005079A9"/>
    <w:rsid w:val="005144A5"/>
    <w:rsid w:val="0051615D"/>
    <w:rsid w:val="005163A8"/>
    <w:rsid w:val="00517EB4"/>
    <w:rsid w:val="005211A5"/>
    <w:rsid w:val="0052789C"/>
    <w:rsid w:val="00530CF6"/>
    <w:rsid w:val="005342FE"/>
    <w:rsid w:val="00536422"/>
    <w:rsid w:val="00537E87"/>
    <w:rsid w:val="00540DF1"/>
    <w:rsid w:val="00542939"/>
    <w:rsid w:val="00545457"/>
    <w:rsid w:val="005509F1"/>
    <w:rsid w:val="00563F7B"/>
    <w:rsid w:val="005655C6"/>
    <w:rsid w:val="0057001D"/>
    <w:rsid w:val="00575336"/>
    <w:rsid w:val="005771E5"/>
    <w:rsid w:val="00581573"/>
    <w:rsid w:val="0058349B"/>
    <w:rsid w:val="005850EF"/>
    <w:rsid w:val="00593136"/>
    <w:rsid w:val="005A00A7"/>
    <w:rsid w:val="005A0E47"/>
    <w:rsid w:val="005B26C5"/>
    <w:rsid w:val="005B4ED3"/>
    <w:rsid w:val="005B583B"/>
    <w:rsid w:val="005B62DF"/>
    <w:rsid w:val="005C14E6"/>
    <w:rsid w:val="005C43CB"/>
    <w:rsid w:val="005C4F14"/>
    <w:rsid w:val="005D1503"/>
    <w:rsid w:val="005D24A9"/>
    <w:rsid w:val="005D2FF4"/>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3745E"/>
    <w:rsid w:val="00641B1C"/>
    <w:rsid w:val="00646A4F"/>
    <w:rsid w:val="0065157B"/>
    <w:rsid w:val="00654FC2"/>
    <w:rsid w:val="00655F86"/>
    <w:rsid w:val="006608A8"/>
    <w:rsid w:val="00662915"/>
    <w:rsid w:val="00662AB7"/>
    <w:rsid w:val="00670CD7"/>
    <w:rsid w:val="0068271A"/>
    <w:rsid w:val="006863DB"/>
    <w:rsid w:val="006867AB"/>
    <w:rsid w:val="00686DF5"/>
    <w:rsid w:val="00693873"/>
    <w:rsid w:val="00695B05"/>
    <w:rsid w:val="006A039A"/>
    <w:rsid w:val="006A2C0C"/>
    <w:rsid w:val="006A31C9"/>
    <w:rsid w:val="006A5D0A"/>
    <w:rsid w:val="006A69FB"/>
    <w:rsid w:val="006A7086"/>
    <w:rsid w:val="006A759E"/>
    <w:rsid w:val="006A7F27"/>
    <w:rsid w:val="006B15DB"/>
    <w:rsid w:val="006B401F"/>
    <w:rsid w:val="006B5056"/>
    <w:rsid w:val="006B62FD"/>
    <w:rsid w:val="006C3FC3"/>
    <w:rsid w:val="006C4EA1"/>
    <w:rsid w:val="006C58A9"/>
    <w:rsid w:val="006C6359"/>
    <w:rsid w:val="006D1146"/>
    <w:rsid w:val="006D1575"/>
    <w:rsid w:val="006D391A"/>
    <w:rsid w:val="006D5B84"/>
    <w:rsid w:val="006D5EE0"/>
    <w:rsid w:val="006D6874"/>
    <w:rsid w:val="006D7EB5"/>
    <w:rsid w:val="006E0A39"/>
    <w:rsid w:val="006E167F"/>
    <w:rsid w:val="006E16F7"/>
    <w:rsid w:val="006E266A"/>
    <w:rsid w:val="006E6669"/>
    <w:rsid w:val="006E6B89"/>
    <w:rsid w:val="006F0221"/>
    <w:rsid w:val="006F107D"/>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5A1E"/>
    <w:rsid w:val="00740021"/>
    <w:rsid w:val="00741B76"/>
    <w:rsid w:val="0074478B"/>
    <w:rsid w:val="00744E8D"/>
    <w:rsid w:val="00745E9E"/>
    <w:rsid w:val="00745FCE"/>
    <w:rsid w:val="0074680F"/>
    <w:rsid w:val="00747838"/>
    <w:rsid w:val="00751616"/>
    <w:rsid w:val="0075313F"/>
    <w:rsid w:val="00754079"/>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4AE7"/>
    <w:rsid w:val="007D740A"/>
    <w:rsid w:val="007D7CFE"/>
    <w:rsid w:val="007E1CB5"/>
    <w:rsid w:val="007E25F8"/>
    <w:rsid w:val="007E74B0"/>
    <w:rsid w:val="007F1F14"/>
    <w:rsid w:val="007F21DC"/>
    <w:rsid w:val="008008AA"/>
    <w:rsid w:val="008143B3"/>
    <w:rsid w:val="00817585"/>
    <w:rsid w:val="0082484E"/>
    <w:rsid w:val="00833210"/>
    <w:rsid w:val="008336F0"/>
    <w:rsid w:val="0084106C"/>
    <w:rsid w:val="0084379C"/>
    <w:rsid w:val="00845587"/>
    <w:rsid w:val="00846A13"/>
    <w:rsid w:val="00850EBA"/>
    <w:rsid w:val="00853AD7"/>
    <w:rsid w:val="008544E6"/>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52CE"/>
    <w:rsid w:val="008A6184"/>
    <w:rsid w:val="008B20BD"/>
    <w:rsid w:val="008B3CC4"/>
    <w:rsid w:val="008B6585"/>
    <w:rsid w:val="008B65F9"/>
    <w:rsid w:val="008B6DB0"/>
    <w:rsid w:val="008B7B63"/>
    <w:rsid w:val="008C36AB"/>
    <w:rsid w:val="008C4BF3"/>
    <w:rsid w:val="008C4F4F"/>
    <w:rsid w:val="008C5452"/>
    <w:rsid w:val="008D07E3"/>
    <w:rsid w:val="008D361C"/>
    <w:rsid w:val="008D49A2"/>
    <w:rsid w:val="008D4C82"/>
    <w:rsid w:val="008E1BC3"/>
    <w:rsid w:val="008E288E"/>
    <w:rsid w:val="008E3127"/>
    <w:rsid w:val="008F0E49"/>
    <w:rsid w:val="008F4320"/>
    <w:rsid w:val="008F5139"/>
    <w:rsid w:val="008F645E"/>
    <w:rsid w:val="008F6B8C"/>
    <w:rsid w:val="008F714A"/>
    <w:rsid w:val="0090256A"/>
    <w:rsid w:val="00904CC2"/>
    <w:rsid w:val="009118D6"/>
    <w:rsid w:val="0091237F"/>
    <w:rsid w:val="00913D89"/>
    <w:rsid w:val="00914802"/>
    <w:rsid w:val="00915412"/>
    <w:rsid w:val="00915449"/>
    <w:rsid w:val="0092064D"/>
    <w:rsid w:val="00921449"/>
    <w:rsid w:val="00926F25"/>
    <w:rsid w:val="009316B0"/>
    <w:rsid w:val="00934249"/>
    <w:rsid w:val="00935144"/>
    <w:rsid w:val="00940856"/>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B7FD8"/>
    <w:rsid w:val="009C11A1"/>
    <w:rsid w:val="009C2145"/>
    <w:rsid w:val="009C4626"/>
    <w:rsid w:val="009C78C3"/>
    <w:rsid w:val="009C7A70"/>
    <w:rsid w:val="009D232B"/>
    <w:rsid w:val="009D2F1A"/>
    <w:rsid w:val="009E00E7"/>
    <w:rsid w:val="009E0FD7"/>
    <w:rsid w:val="009E3800"/>
    <w:rsid w:val="009E44C7"/>
    <w:rsid w:val="009E4EF4"/>
    <w:rsid w:val="009E6088"/>
    <w:rsid w:val="009F37D4"/>
    <w:rsid w:val="009F613E"/>
    <w:rsid w:val="00A04956"/>
    <w:rsid w:val="00A05251"/>
    <w:rsid w:val="00A14209"/>
    <w:rsid w:val="00A14F80"/>
    <w:rsid w:val="00A15F91"/>
    <w:rsid w:val="00A257D1"/>
    <w:rsid w:val="00A27532"/>
    <w:rsid w:val="00A315FA"/>
    <w:rsid w:val="00A324C7"/>
    <w:rsid w:val="00A33C86"/>
    <w:rsid w:val="00A35D8C"/>
    <w:rsid w:val="00A36F04"/>
    <w:rsid w:val="00A41314"/>
    <w:rsid w:val="00A436B1"/>
    <w:rsid w:val="00A4593B"/>
    <w:rsid w:val="00A46F59"/>
    <w:rsid w:val="00A56FFE"/>
    <w:rsid w:val="00A57B9D"/>
    <w:rsid w:val="00A610DD"/>
    <w:rsid w:val="00A624C7"/>
    <w:rsid w:val="00A659C5"/>
    <w:rsid w:val="00A7466D"/>
    <w:rsid w:val="00A74F1B"/>
    <w:rsid w:val="00A75009"/>
    <w:rsid w:val="00A75C60"/>
    <w:rsid w:val="00A81C09"/>
    <w:rsid w:val="00A822FE"/>
    <w:rsid w:val="00A85565"/>
    <w:rsid w:val="00A90812"/>
    <w:rsid w:val="00A91613"/>
    <w:rsid w:val="00A95B1F"/>
    <w:rsid w:val="00A960E9"/>
    <w:rsid w:val="00A97A32"/>
    <w:rsid w:val="00AA0DB6"/>
    <w:rsid w:val="00AA42FA"/>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B035DC"/>
    <w:rsid w:val="00B06B9E"/>
    <w:rsid w:val="00B12C8A"/>
    <w:rsid w:val="00B12FE1"/>
    <w:rsid w:val="00B20A9F"/>
    <w:rsid w:val="00B2374B"/>
    <w:rsid w:val="00B30922"/>
    <w:rsid w:val="00B41D25"/>
    <w:rsid w:val="00B42FFA"/>
    <w:rsid w:val="00B45B22"/>
    <w:rsid w:val="00B46E8D"/>
    <w:rsid w:val="00B50649"/>
    <w:rsid w:val="00B525F3"/>
    <w:rsid w:val="00B52D5F"/>
    <w:rsid w:val="00B557DC"/>
    <w:rsid w:val="00B61B9B"/>
    <w:rsid w:val="00B62C35"/>
    <w:rsid w:val="00B63C72"/>
    <w:rsid w:val="00B65146"/>
    <w:rsid w:val="00B67DAC"/>
    <w:rsid w:val="00B71F00"/>
    <w:rsid w:val="00B7407C"/>
    <w:rsid w:val="00B743EE"/>
    <w:rsid w:val="00B746AE"/>
    <w:rsid w:val="00B83CEC"/>
    <w:rsid w:val="00B84959"/>
    <w:rsid w:val="00B851C8"/>
    <w:rsid w:val="00B90DC7"/>
    <w:rsid w:val="00B92594"/>
    <w:rsid w:val="00B94ACB"/>
    <w:rsid w:val="00BA19FA"/>
    <w:rsid w:val="00BA56BC"/>
    <w:rsid w:val="00BB0147"/>
    <w:rsid w:val="00BB22F5"/>
    <w:rsid w:val="00BB6951"/>
    <w:rsid w:val="00BC5182"/>
    <w:rsid w:val="00BC51B5"/>
    <w:rsid w:val="00BD2896"/>
    <w:rsid w:val="00BD7E5A"/>
    <w:rsid w:val="00BE464D"/>
    <w:rsid w:val="00BF0129"/>
    <w:rsid w:val="00BF0711"/>
    <w:rsid w:val="00BF2C2F"/>
    <w:rsid w:val="00BF2EF5"/>
    <w:rsid w:val="00BF419E"/>
    <w:rsid w:val="00BF6082"/>
    <w:rsid w:val="00BF62A6"/>
    <w:rsid w:val="00C010F1"/>
    <w:rsid w:val="00C03352"/>
    <w:rsid w:val="00C04D47"/>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993"/>
    <w:rsid w:val="00C37F47"/>
    <w:rsid w:val="00C438A1"/>
    <w:rsid w:val="00C44740"/>
    <w:rsid w:val="00C4529D"/>
    <w:rsid w:val="00C57BE6"/>
    <w:rsid w:val="00C629B6"/>
    <w:rsid w:val="00C658C6"/>
    <w:rsid w:val="00C65CC7"/>
    <w:rsid w:val="00C70021"/>
    <w:rsid w:val="00C70C67"/>
    <w:rsid w:val="00C73B15"/>
    <w:rsid w:val="00C74471"/>
    <w:rsid w:val="00C76AA0"/>
    <w:rsid w:val="00C77EF8"/>
    <w:rsid w:val="00C80116"/>
    <w:rsid w:val="00C8027D"/>
    <w:rsid w:val="00C86539"/>
    <w:rsid w:val="00C935E2"/>
    <w:rsid w:val="00C961DF"/>
    <w:rsid w:val="00C97838"/>
    <w:rsid w:val="00CA0F5C"/>
    <w:rsid w:val="00CA1821"/>
    <w:rsid w:val="00CA1943"/>
    <w:rsid w:val="00CA200A"/>
    <w:rsid w:val="00CA21D0"/>
    <w:rsid w:val="00CA2A81"/>
    <w:rsid w:val="00CA2C3B"/>
    <w:rsid w:val="00CA3517"/>
    <w:rsid w:val="00CB23C5"/>
    <w:rsid w:val="00CB40A8"/>
    <w:rsid w:val="00CB642F"/>
    <w:rsid w:val="00CB66AE"/>
    <w:rsid w:val="00CB6E1C"/>
    <w:rsid w:val="00CC6510"/>
    <w:rsid w:val="00CD17F9"/>
    <w:rsid w:val="00CD328F"/>
    <w:rsid w:val="00CD3530"/>
    <w:rsid w:val="00CD4253"/>
    <w:rsid w:val="00CE0200"/>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6FF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A40"/>
    <w:rsid w:val="00D67EA2"/>
    <w:rsid w:val="00D71730"/>
    <w:rsid w:val="00D72167"/>
    <w:rsid w:val="00D72ECA"/>
    <w:rsid w:val="00D746F5"/>
    <w:rsid w:val="00D74DE0"/>
    <w:rsid w:val="00D76A67"/>
    <w:rsid w:val="00D7757C"/>
    <w:rsid w:val="00D80D43"/>
    <w:rsid w:val="00D824A4"/>
    <w:rsid w:val="00D84092"/>
    <w:rsid w:val="00D87F4B"/>
    <w:rsid w:val="00D932F4"/>
    <w:rsid w:val="00D975FA"/>
    <w:rsid w:val="00DA4405"/>
    <w:rsid w:val="00DB1665"/>
    <w:rsid w:val="00DB269D"/>
    <w:rsid w:val="00DC0888"/>
    <w:rsid w:val="00DD096A"/>
    <w:rsid w:val="00DD3AEC"/>
    <w:rsid w:val="00DD5CC2"/>
    <w:rsid w:val="00DD6DC8"/>
    <w:rsid w:val="00DE3C58"/>
    <w:rsid w:val="00DE5974"/>
    <w:rsid w:val="00DF052C"/>
    <w:rsid w:val="00DF280B"/>
    <w:rsid w:val="00DF7A7B"/>
    <w:rsid w:val="00DF7C79"/>
    <w:rsid w:val="00E001AC"/>
    <w:rsid w:val="00E00383"/>
    <w:rsid w:val="00E00FCB"/>
    <w:rsid w:val="00E01AF3"/>
    <w:rsid w:val="00E07E42"/>
    <w:rsid w:val="00E11D83"/>
    <w:rsid w:val="00E121B8"/>
    <w:rsid w:val="00E1390B"/>
    <w:rsid w:val="00E2268B"/>
    <w:rsid w:val="00E23D05"/>
    <w:rsid w:val="00E30638"/>
    <w:rsid w:val="00E3137F"/>
    <w:rsid w:val="00E31AB9"/>
    <w:rsid w:val="00E32896"/>
    <w:rsid w:val="00E33633"/>
    <w:rsid w:val="00E339A3"/>
    <w:rsid w:val="00E3439B"/>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A1CB8"/>
    <w:rsid w:val="00EA607B"/>
    <w:rsid w:val="00EA77DD"/>
    <w:rsid w:val="00EB0B4D"/>
    <w:rsid w:val="00EB64D4"/>
    <w:rsid w:val="00EC162E"/>
    <w:rsid w:val="00EC18E6"/>
    <w:rsid w:val="00EC1C61"/>
    <w:rsid w:val="00ED135A"/>
    <w:rsid w:val="00ED1509"/>
    <w:rsid w:val="00ED33CD"/>
    <w:rsid w:val="00ED3B56"/>
    <w:rsid w:val="00ED44EF"/>
    <w:rsid w:val="00ED7DF5"/>
    <w:rsid w:val="00EE3881"/>
    <w:rsid w:val="00EE6231"/>
    <w:rsid w:val="00EF36ED"/>
    <w:rsid w:val="00EF77C0"/>
    <w:rsid w:val="00F034BF"/>
    <w:rsid w:val="00F03FB4"/>
    <w:rsid w:val="00F04F6E"/>
    <w:rsid w:val="00F05F1C"/>
    <w:rsid w:val="00F05F28"/>
    <w:rsid w:val="00F0616B"/>
    <w:rsid w:val="00F07146"/>
    <w:rsid w:val="00F079AC"/>
    <w:rsid w:val="00F07F2B"/>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6622"/>
    <w:rsid w:val="00F66ACD"/>
    <w:rsid w:val="00F72C4F"/>
    <w:rsid w:val="00F744BA"/>
    <w:rsid w:val="00F80DB1"/>
    <w:rsid w:val="00F96EFF"/>
    <w:rsid w:val="00FA0094"/>
    <w:rsid w:val="00FA0958"/>
    <w:rsid w:val="00FA18AB"/>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85B794"/>
  <w15:docId w15:val="{85F70AE9-F7C5-4CEE-8A43-46A48BB6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6A759E"/>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2.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C632-EFB4-4557-B727-FB9F95A4F368}">
  <ds:schemaRefs>
    <ds:schemaRef ds:uri="http://purl.org/dc/elements/1.1/"/>
    <ds:schemaRef ds:uri="http://schemas.microsoft.com/office/2006/metadata/properties"/>
    <ds:schemaRef ds:uri="94fc26e6-6271-400d-888b-6bc5b0598690"/>
    <ds:schemaRef ds:uri="CB92A77B-E84C-4077-9A1B-2031C3BC8F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6C1D357-FFD7-4574-97CD-25B8EE34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12721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Owusu-Sem, Kelvin</cp:lastModifiedBy>
  <cp:revision>2</cp:revision>
  <cp:lastPrinted>2017-09-13T10:33:00Z</cp:lastPrinted>
  <dcterms:created xsi:type="dcterms:W3CDTF">2020-09-18T14:54:00Z</dcterms:created>
  <dcterms:modified xsi:type="dcterms:W3CDTF">2020-09-18T14:54:00Z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1231160</vt:lpwstr>
  </property>
  <property fmtid="{D5CDD505-2E9C-101B-9397-08002B2CF9AE}" pid="3" name="DocVer">
    <vt:lpwstr>Markets 1231160v1</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-361574699</vt:i4>
  </property>
  <property fmtid="{D5CDD505-2E9C-101B-9397-08002B2CF9AE}" pid="12" name="_NewReviewCycle">
    <vt:lpwstr/>
  </property>
  <property fmtid="{D5CDD505-2E9C-101B-9397-08002B2CF9AE}" pid="13" name="_EmailSubject">
    <vt:lpwstr>ACT - 5 new documents to be published on website</vt:lpwstr>
  </property>
  <property fmtid="{D5CDD505-2E9C-101B-9397-08002B2CF9AE}" pid="14" name="_AuthorEmail">
    <vt:lpwstr>Charlotte.Fairbairn@bankofengland.co.uk</vt:lpwstr>
  </property>
  <property fmtid="{D5CDD505-2E9C-101B-9397-08002B2CF9AE}" pid="15" name="_AuthorEmailDisplayName">
    <vt:lpwstr>Fairbairn, Charlotte</vt:lpwstr>
  </property>
  <property fmtid="{D5CDD505-2E9C-101B-9397-08002B2CF9AE}" pid="16" name="_PreviousAdHocReviewCycleID">
    <vt:i4>778007514</vt:i4>
  </property>
</Properties>
</file>