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90" w:rsidRPr="007E26C9" w:rsidRDefault="009F2A90" w:rsidP="009F2A90">
      <w:pPr>
        <w:spacing w:after="240" w:line="288" w:lineRule="atLeast"/>
        <w:jc w:val="center"/>
        <w:outlineLvl w:val="2"/>
        <w:rPr>
          <w:rFonts w:eastAsia="Times New Roman" w:cs="Arial"/>
          <w:b/>
          <w:bCs/>
          <w:color w:val="000000"/>
          <w:sz w:val="22"/>
          <w:u w:val="single"/>
        </w:rPr>
      </w:pPr>
      <w:r w:rsidRPr="007E26C9">
        <w:rPr>
          <w:rFonts w:eastAsia="Times New Roman" w:cs="Arial"/>
          <w:b/>
          <w:bCs/>
          <w:strike/>
          <w:color w:val="000000"/>
          <w:sz w:val="22"/>
        </w:rPr>
        <w:t>Annex II</w:t>
      </w:r>
      <w:r w:rsidR="003C0393" w:rsidRPr="007E26C9">
        <w:rPr>
          <w:rFonts w:eastAsia="Times New Roman" w:cs="Arial"/>
          <w:b/>
          <w:bCs/>
          <w:color w:val="000000"/>
          <w:sz w:val="22"/>
        </w:rPr>
        <w:t xml:space="preserve"> </w:t>
      </w:r>
      <w:r w:rsidR="003C0393" w:rsidRPr="007E26C9">
        <w:rPr>
          <w:rFonts w:eastAsia="Times New Roman" w:cs="Arial"/>
          <w:b/>
          <w:bCs/>
          <w:color w:val="000000"/>
          <w:sz w:val="22"/>
          <w:u w:val="single"/>
        </w:rPr>
        <w:t>Chapter 10</w:t>
      </w:r>
    </w:p>
    <w:p w:rsidR="009F2A90" w:rsidRPr="00034FD4" w:rsidRDefault="009F2A90" w:rsidP="009F2A90">
      <w:pPr>
        <w:spacing w:after="240" w:line="288" w:lineRule="atLeast"/>
        <w:jc w:val="center"/>
        <w:outlineLvl w:val="2"/>
        <w:rPr>
          <w:rFonts w:eastAsia="Times New Roman" w:cs="Arial"/>
          <w:b/>
          <w:bCs/>
          <w:color w:val="000000"/>
          <w:sz w:val="22"/>
        </w:rPr>
      </w:pPr>
      <w:r w:rsidRPr="007E26C9">
        <w:rPr>
          <w:rFonts w:eastAsia="Times New Roman" w:cs="Arial"/>
          <w:b/>
          <w:bCs/>
          <w:color w:val="000000"/>
          <w:sz w:val="22"/>
        </w:rPr>
        <w:t>Instructions regarding reporting templates for individual undertakings</w:t>
      </w:r>
    </w:p>
    <w:p w:rsidR="009F2A90" w:rsidRPr="00034FD4" w:rsidRDefault="009F2A90" w:rsidP="00055074">
      <w:pPr>
        <w:pStyle w:val="Default"/>
        <w:rPr>
          <w:rFonts w:ascii="Arial" w:hAnsi="Arial" w:cs="Arial"/>
          <w:b/>
          <w:bCs/>
          <w:iCs/>
          <w:sz w:val="22"/>
          <w:szCs w:val="22"/>
        </w:rPr>
      </w:pPr>
    </w:p>
    <w:p w:rsidR="00055074" w:rsidRPr="00034FD4" w:rsidRDefault="00055074" w:rsidP="00055074">
      <w:pPr>
        <w:pStyle w:val="Default"/>
        <w:rPr>
          <w:rFonts w:ascii="Arial" w:hAnsi="Arial" w:cs="Arial"/>
          <w:sz w:val="22"/>
          <w:szCs w:val="22"/>
        </w:rPr>
      </w:pPr>
      <w:r w:rsidRPr="00034FD4">
        <w:rPr>
          <w:rFonts w:ascii="Arial" w:hAnsi="Arial" w:cs="Arial"/>
          <w:b/>
          <w:bCs/>
          <w:iCs/>
          <w:sz w:val="22"/>
          <w:szCs w:val="22"/>
        </w:rPr>
        <w:t>S.16.01 — Information on annuities stemming from Non–Life Insurance obligations</w:t>
      </w:r>
    </w:p>
    <w:p w:rsidR="00055074" w:rsidRPr="00034FD4" w:rsidRDefault="00055074" w:rsidP="00055074">
      <w:pPr>
        <w:pStyle w:val="Default"/>
        <w:rPr>
          <w:rFonts w:ascii="Arial" w:hAnsi="Arial" w:cs="Arial"/>
          <w:iCs/>
          <w:sz w:val="22"/>
          <w:szCs w:val="22"/>
        </w:rPr>
      </w:pPr>
    </w:p>
    <w:p w:rsidR="00055074" w:rsidRPr="00034FD4" w:rsidRDefault="00055074" w:rsidP="00055074">
      <w:pPr>
        <w:pStyle w:val="Default"/>
        <w:rPr>
          <w:rFonts w:ascii="Arial" w:hAnsi="Arial" w:cs="Arial"/>
          <w:sz w:val="22"/>
          <w:szCs w:val="22"/>
        </w:rPr>
      </w:pPr>
      <w:r w:rsidRPr="00034FD4">
        <w:rPr>
          <w:rFonts w:ascii="Arial" w:hAnsi="Arial" w:cs="Arial"/>
          <w:iCs/>
          <w:sz w:val="22"/>
          <w:szCs w:val="22"/>
        </w:rPr>
        <w:t xml:space="preserve">General comments: </w:t>
      </w:r>
    </w:p>
    <w:p w:rsidR="00055074" w:rsidRPr="00034FD4" w:rsidRDefault="00055074" w:rsidP="00055074">
      <w:pPr>
        <w:spacing w:line="276" w:lineRule="auto"/>
        <w:rPr>
          <w:rFonts w:cs="Arial"/>
          <w:sz w:val="22"/>
        </w:rPr>
      </w:pPr>
    </w:p>
    <w:p w:rsidR="00055074" w:rsidRPr="00034FD4" w:rsidRDefault="00055074" w:rsidP="00055074">
      <w:pPr>
        <w:spacing w:line="276" w:lineRule="auto"/>
        <w:rPr>
          <w:rFonts w:cs="Arial"/>
          <w:sz w:val="22"/>
        </w:rPr>
      </w:pPr>
      <w:r w:rsidRPr="00034FD4">
        <w:rPr>
          <w:rFonts w:cs="Arial"/>
          <w:sz w:val="22"/>
        </w:rPr>
        <w:t xml:space="preserve">This section relates to annual submission of information for individual </w:t>
      </w:r>
      <w:r w:rsidR="004A75D3" w:rsidRPr="00034FD4">
        <w:rPr>
          <w:rFonts w:cs="Arial"/>
          <w:sz w:val="22"/>
          <w:u w:val="single"/>
        </w:rPr>
        <w:t>entities</w:t>
      </w:r>
      <w:r w:rsidR="004A75D3" w:rsidRPr="00034FD4">
        <w:rPr>
          <w:rFonts w:cs="Arial"/>
          <w:sz w:val="22"/>
        </w:rPr>
        <w:t xml:space="preserve"> </w:t>
      </w:r>
      <w:r w:rsidRPr="00034FD4">
        <w:rPr>
          <w:rFonts w:cs="Arial"/>
          <w:strike/>
          <w:sz w:val="22"/>
        </w:rPr>
        <w:t>undertakings</w:t>
      </w:r>
      <w:r w:rsidRPr="00034FD4">
        <w:rPr>
          <w:rFonts w:cs="Arial"/>
          <w:sz w:val="22"/>
        </w:rPr>
        <w:t>.</w:t>
      </w:r>
    </w:p>
    <w:p w:rsidR="00055074" w:rsidRPr="00034FD4" w:rsidRDefault="00055074" w:rsidP="00055074">
      <w:pPr>
        <w:spacing w:line="276" w:lineRule="auto"/>
        <w:rPr>
          <w:rFonts w:cs="Arial"/>
          <w:sz w:val="22"/>
        </w:rPr>
      </w:pPr>
    </w:p>
    <w:p w:rsidR="00055074" w:rsidRPr="00034FD4" w:rsidRDefault="00055074" w:rsidP="00055074">
      <w:pPr>
        <w:autoSpaceDE w:val="0"/>
        <w:autoSpaceDN w:val="0"/>
        <w:adjustRightInd w:val="0"/>
        <w:spacing w:line="240" w:lineRule="auto"/>
        <w:rPr>
          <w:rFonts w:eastAsiaTheme="minorHAnsi" w:cs="Arial"/>
          <w:color w:val="000000"/>
          <w:sz w:val="22"/>
          <w:u w:val="single"/>
          <w:lang w:eastAsia="en-US"/>
        </w:rPr>
      </w:pPr>
      <w:r w:rsidRPr="00034FD4">
        <w:rPr>
          <w:rFonts w:eastAsiaTheme="minorHAnsi" w:cs="Arial"/>
          <w:color w:val="000000"/>
          <w:sz w:val="22"/>
          <w:u w:val="single"/>
          <w:lang w:eastAsia="en-US"/>
        </w:rPr>
        <w:t xml:space="preserve">This template shall not be reported for accepted reinsurance business. </w:t>
      </w: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r w:rsidRPr="00034FD4">
        <w:rPr>
          <w:rFonts w:eastAsiaTheme="minorHAnsi" w:cs="Arial"/>
          <w:color w:val="000000"/>
          <w:sz w:val="22"/>
          <w:lang w:eastAsia="en-US"/>
        </w:rPr>
        <w:t xml:space="preserve">This template shall be reported only for annuities formally settled stemming from non–life contracts and relating to health insurance obligations and relating to insurance obligations other than health insurance obligations. </w:t>
      </w:r>
    </w:p>
    <w:p w:rsidR="00C03BFA" w:rsidRPr="00034FD4" w:rsidRDefault="00C03BFA" w:rsidP="00055074">
      <w:pPr>
        <w:autoSpaceDE w:val="0"/>
        <w:autoSpaceDN w:val="0"/>
        <w:adjustRightInd w:val="0"/>
        <w:spacing w:line="240" w:lineRule="auto"/>
        <w:rPr>
          <w:rFonts w:eastAsiaTheme="minorHAnsi" w:cs="Arial"/>
          <w:color w:val="000000"/>
          <w:sz w:val="22"/>
          <w:lang w:eastAsia="en-US"/>
        </w:rPr>
      </w:pPr>
    </w:p>
    <w:p w:rsidR="00C03BFA" w:rsidRPr="00034FD4" w:rsidRDefault="00C03BFA" w:rsidP="00055074">
      <w:pPr>
        <w:autoSpaceDE w:val="0"/>
        <w:autoSpaceDN w:val="0"/>
        <w:adjustRightInd w:val="0"/>
        <w:spacing w:line="240" w:lineRule="auto"/>
        <w:rPr>
          <w:rFonts w:eastAsiaTheme="minorHAnsi" w:cs="Arial"/>
          <w:strike/>
          <w:color w:val="000000"/>
          <w:sz w:val="22"/>
          <w:lang w:eastAsia="en-US"/>
        </w:rPr>
      </w:pPr>
      <w:r w:rsidRPr="00034FD4">
        <w:rPr>
          <w:rFonts w:cs="Arial"/>
          <w:strike/>
          <w:sz w:val="22"/>
        </w:rPr>
        <w:t>Reinsurance undertakings (</w:t>
      </w:r>
      <w:proofErr w:type="spellStart"/>
      <w:r w:rsidRPr="00034FD4">
        <w:rPr>
          <w:rFonts w:cs="Arial"/>
          <w:strike/>
          <w:sz w:val="22"/>
        </w:rPr>
        <w:t>ie</w:t>
      </w:r>
      <w:proofErr w:type="spellEnd"/>
      <w:r w:rsidRPr="00034FD4">
        <w:rPr>
          <w:rFonts w:cs="Arial"/>
          <w:strike/>
          <w:sz w:val="22"/>
        </w:rPr>
        <w:t xml:space="preserve"> excluding those who write direct business) are exempt from reporting this template.</w:t>
      </w: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rPr>
          <w:rFonts w:eastAsiaTheme="minorHAnsi" w:cs="Arial"/>
          <w:color w:val="000000"/>
          <w:sz w:val="22"/>
          <w:u w:val="single"/>
          <w:lang w:eastAsia="en-US"/>
        </w:rPr>
      </w:pPr>
      <w:r w:rsidRPr="00034FD4">
        <w:rPr>
          <w:rFonts w:eastAsiaTheme="minorHAnsi" w:cs="Arial"/>
          <w:color w:val="000000"/>
          <w:sz w:val="22"/>
          <w:u w:val="single"/>
          <w:lang w:eastAsia="en-US"/>
        </w:rPr>
        <w:t xml:space="preserve">Formally settled as an annuity means that a legal process has ordered that the beneficiary is to receive payments as an annuity. </w:t>
      </w: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rPr>
          <w:rFonts w:eastAsiaTheme="minorHAnsi" w:cs="Arial"/>
          <w:color w:val="000000"/>
          <w:sz w:val="22"/>
          <w:u w:val="single"/>
          <w:lang w:eastAsia="en-US"/>
        </w:rPr>
      </w:pPr>
      <w:r w:rsidRPr="00034FD4">
        <w:rPr>
          <w:rFonts w:eastAsiaTheme="minorHAnsi" w:cs="Arial"/>
          <w:color w:val="000000"/>
          <w:sz w:val="22"/>
          <w:u w:val="single"/>
          <w:lang w:eastAsia="en-US"/>
        </w:rPr>
        <w:t xml:space="preserve">In the event that after an obligation has been formally settled as an annuity some of that obligation subsequently ends up being settled via a lump sum payment that was not in the original annuity payment order, that lump sum would be recorded as a payment in template S.16.01; </w:t>
      </w:r>
      <w:proofErr w:type="spellStart"/>
      <w:r w:rsidRPr="00034FD4">
        <w:rPr>
          <w:rFonts w:eastAsiaTheme="minorHAnsi" w:cs="Arial"/>
          <w:color w:val="000000"/>
          <w:sz w:val="22"/>
          <w:u w:val="single"/>
          <w:lang w:eastAsia="en-US"/>
        </w:rPr>
        <w:t>ie</w:t>
      </w:r>
      <w:proofErr w:type="spellEnd"/>
      <w:r w:rsidRPr="00034FD4">
        <w:rPr>
          <w:rFonts w:eastAsiaTheme="minorHAnsi" w:cs="Arial"/>
          <w:color w:val="000000"/>
          <w:sz w:val="22"/>
          <w:u w:val="single"/>
          <w:lang w:eastAsia="en-US"/>
        </w:rPr>
        <w:t xml:space="preserve"> there is no movement of claims data out of template S.16.01 and into S.19.01. </w:t>
      </w:r>
    </w:p>
    <w:p w:rsidR="00A85850" w:rsidRPr="00034FD4" w:rsidRDefault="00A85850" w:rsidP="00055074">
      <w:pPr>
        <w:autoSpaceDE w:val="0"/>
        <w:autoSpaceDN w:val="0"/>
        <w:adjustRightInd w:val="0"/>
        <w:spacing w:line="240" w:lineRule="auto"/>
        <w:rPr>
          <w:rFonts w:eastAsiaTheme="minorHAnsi" w:cs="Arial"/>
          <w:color w:val="000000"/>
          <w:sz w:val="22"/>
          <w:u w:val="single"/>
          <w:lang w:eastAsia="en-US"/>
        </w:rPr>
      </w:pPr>
    </w:p>
    <w:p w:rsidR="00A85850" w:rsidRPr="00034FD4" w:rsidRDefault="00A85850" w:rsidP="00055074">
      <w:pPr>
        <w:autoSpaceDE w:val="0"/>
        <w:autoSpaceDN w:val="0"/>
        <w:adjustRightInd w:val="0"/>
        <w:spacing w:line="240" w:lineRule="auto"/>
        <w:rPr>
          <w:rFonts w:eastAsiaTheme="minorHAnsi" w:cs="Arial"/>
          <w:color w:val="000000"/>
          <w:sz w:val="22"/>
          <w:u w:val="single"/>
          <w:lang w:eastAsia="en-US"/>
        </w:rPr>
      </w:pPr>
      <w:r w:rsidRPr="00034FD4">
        <w:rPr>
          <w:rFonts w:cs="Arial"/>
          <w:sz w:val="22"/>
          <w:u w:val="single"/>
        </w:rPr>
        <w:t>For the purpose of this template ‘allocated loss adjustment expenses (ALAE)’ means: the costs of</w:t>
      </w:r>
      <w:r w:rsidRPr="00034FD4">
        <w:rPr>
          <w:rFonts w:cs="Arial"/>
          <w:strike/>
          <w:sz w:val="22"/>
          <w:u w:val="single"/>
        </w:rPr>
        <w:t xml:space="preserve"> </w:t>
      </w:r>
      <w:r w:rsidRPr="00034FD4">
        <w:rPr>
          <w:rFonts w:cs="Arial"/>
          <w:sz w:val="22"/>
          <w:u w:val="single"/>
        </w:rPr>
        <w:t>processing and resolving claims that could be assignable to individual claim (</w:t>
      </w:r>
      <w:proofErr w:type="spellStart"/>
      <w:r w:rsidRPr="00034FD4">
        <w:rPr>
          <w:rFonts w:cs="Arial"/>
          <w:sz w:val="22"/>
          <w:u w:val="single"/>
        </w:rPr>
        <w:t>eg</w:t>
      </w:r>
      <w:proofErr w:type="spellEnd"/>
      <w:r w:rsidRPr="00034FD4">
        <w:rPr>
          <w:rFonts w:cs="Arial"/>
          <w:sz w:val="22"/>
          <w:u w:val="single"/>
        </w:rPr>
        <w:t xml:space="preserve"> legal and adjuster’s fees).</w:t>
      </w: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p>
    <w:p w:rsidR="00055074" w:rsidRPr="00034FD4" w:rsidRDefault="00A85850" w:rsidP="00055074">
      <w:pPr>
        <w:autoSpaceDE w:val="0"/>
        <w:autoSpaceDN w:val="0"/>
        <w:adjustRightInd w:val="0"/>
        <w:spacing w:line="240" w:lineRule="auto"/>
        <w:rPr>
          <w:rFonts w:eastAsiaTheme="minorHAnsi" w:cs="Arial"/>
          <w:color w:val="000000"/>
          <w:sz w:val="22"/>
          <w:lang w:eastAsia="en-US"/>
        </w:rPr>
      </w:pPr>
      <w:r w:rsidRPr="00034FD4">
        <w:rPr>
          <w:rFonts w:eastAsiaTheme="minorHAnsi" w:cs="Arial"/>
          <w:color w:val="000000"/>
          <w:sz w:val="22"/>
          <w:u w:val="single"/>
          <w:lang w:eastAsia="en-US"/>
        </w:rPr>
        <w:t>Firms</w:t>
      </w:r>
      <w:r w:rsidRPr="00034FD4">
        <w:rPr>
          <w:rFonts w:eastAsiaTheme="minorHAnsi" w:cs="Arial"/>
          <w:color w:val="000000"/>
          <w:sz w:val="22"/>
          <w:lang w:eastAsia="en-US"/>
        </w:rPr>
        <w:t xml:space="preserve"> </w:t>
      </w:r>
      <w:r w:rsidR="00055074" w:rsidRPr="00034FD4">
        <w:rPr>
          <w:rFonts w:eastAsiaTheme="minorHAnsi" w:cs="Arial"/>
          <w:strike/>
          <w:color w:val="000000"/>
          <w:sz w:val="22"/>
          <w:lang w:eastAsia="en-US"/>
        </w:rPr>
        <w:t>Undertakings</w:t>
      </w:r>
      <w:r w:rsidR="00055074" w:rsidRPr="00034FD4">
        <w:rPr>
          <w:rFonts w:eastAsiaTheme="minorHAnsi" w:cs="Arial"/>
          <w:color w:val="000000"/>
          <w:sz w:val="22"/>
          <w:lang w:eastAsia="en-US"/>
        </w:rPr>
        <w:t xml:space="preserve"> </w:t>
      </w:r>
      <w:r w:rsidR="00055074" w:rsidRPr="00034FD4">
        <w:rPr>
          <w:rFonts w:eastAsiaTheme="minorHAnsi" w:cs="Arial"/>
          <w:strike/>
          <w:color w:val="000000"/>
          <w:sz w:val="22"/>
          <w:lang w:eastAsia="en-US"/>
        </w:rPr>
        <w:t>are required to report data on an accident year or underwriting year basis, in accordance with any requirements of the National Supervisory Authority. If the National Supervisory Authority has not stipulated which to use then the undertaking</w:t>
      </w:r>
      <w:r w:rsidR="00055074" w:rsidRPr="00034FD4">
        <w:rPr>
          <w:rFonts w:eastAsiaTheme="minorHAnsi" w:cs="Arial"/>
          <w:color w:val="000000"/>
          <w:sz w:val="22"/>
          <w:lang w:eastAsia="en-US"/>
        </w:rPr>
        <w:t xml:space="preserve"> may use accident or underwriting year according to how they manage each line of business, as </w:t>
      </w:r>
      <w:proofErr w:type="gramStart"/>
      <w:r w:rsidR="00055074" w:rsidRPr="00034FD4">
        <w:rPr>
          <w:rFonts w:eastAsiaTheme="minorHAnsi" w:cs="Arial"/>
          <w:color w:val="000000"/>
          <w:sz w:val="22"/>
          <w:lang w:eastAsia="en-US"/>
        </w:rPr>
        <w:t>defined</w:t>
      </w:r>
      <w:proofErr w:type="gramEnd"/>
      <w:r w:rsidR="00055074" w:rsidRPr="00034FD4">
        <w:rPr>
          <w:rFonts w:eastAsiaTheme="minorHAnsi" w:cs="Arial"/>
          <w:color w:val="000000"/>
          <w:sz w:val="22"/>
          <w:lang w:eastAsia="en-US"/>
        </w:rPr>
        <w:t xml:space="preserve"> in Annex I to Delegated Regulation (EU) 2015/35, provided that they use the same year consistently, year on year. </w:t>
      </w: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r w:rsidRPr="00034FD4">
        <w:rPr>
          <w:rFonts w:eastAsiaTheme="minorHAnsi" w:cs="Arial"/>
          <w:color w:val="000000"/>
          <w:sz w:val="22"/>
          <w:lang w:eastAsia="en-US"/>
        </w:rPr>
        <w:t xml:space="preserve">This template shall be reported by non–life line of business, as defined in Annex I to Delegated Regulation (EU) 2015/35, originating the annuity and by currency, considering the following specifications: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roofErr w:type="spellStart"/>
      <w:r w:rsidRPr="00034FD4">
        <w:rPr>
          <w:rFonts w:eastAsiaTheme="minorHAnsi" w:cs="Arial"/>
          <w:color w:val="000000"/>
          <w:sz w:val="22"/>
          <w:lang w:eastAsia="en-US"/>
        </w:rPr>
        <w:t>i</w:t>
      </w:r>
      <w:proofErr w:type="spellEnd"/>
      <w:r w:rsidRPr="00034FD4">
        <w:rPr>
          <w:rFonts w:eastAsiaTheme="minorHAnsi" w:cs="Arial"/>
          <w:color w:val="000000"/>
          <w:sz w:val="22"/>
          <w:lang w:eastAsia="en-US"/>
        </w:rPr>
        <w:t xml:space="preserve">. If the best estimate for the annuity claims provisions on a discounted basis from one non–life line of business represents more than 3% of the total best estimate for all annuity claims provisions the information shall be reported with the following split by currencies in addition to the total for the line of business: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ind w:left="1440"/>
        <w:rPr>
          <w:rFonts w:eastAsiaTheme="minorHAnsi" w:cs="Arial"/>
          <w:color w:val="000000"/>
          <w:sz w:val="22"/>
          <w:lang w:eastAsia="en-US"/>
        </w:rPr>
      </w:pPr>
      <w:r w:rsidRPr="00034FD4">
        <w:rPr>
          <w:rFonts w:eastAsiaTheme="minorHAnsi" w:cs="Arial"/>
          <w:color w:val="000000"/>
          <w:sz w:val="22"/>
          <w:lang w:eastAsia="en-US"/>
        </w:rPr>
        <w:t xml:space="preserve">a) </w:t>
      </w:r>
      <w:r w:rsidRPr="00034FD4">
        <w:rPr>
          <w:rFonts w:eastAsiaTheme="minorHAnsi" w:cs="Arial"/>
          <w:strike/>
          <w:color w:val="000000"/>
          <w:sz w:val="22"/>
          <w:lang w:eastAsia="en-US"/>
        </w:rPr>
        <w:t>Amounts for the reporting currency; b)</w:t>
      </w:r>
      <w:r w:rsidRPr="00034FD4">
        <w:rPr>
          <w:rFonts w:eastAsiaTheme="minorHAnsi" w:cs="Arial"/>
          <w:color w:val="000000"/>
          <w:sz w:val="22"/>
          <w:lang w:eastAsia="en-US"/>
        </w:rPr>
        <w:t xml:space="preserve"> Amounts for any currency that represents more than 25 % of the best estimate for the annuity claims provisions on a discounted basis from that non–life line of business; or </w:t>
      </w:r>
    </w:p>
    <w:p w:rsidR="00055074" w:rsidRPr="00034FD4" w:rsidRDefault="00055074" w:rsidP="00055074">
      <w:pPr>
        <w:autoSpaceDE w:val="0"/>
        <w:autoSpaceDN w:val="0"/>
        <w:adjustRightInd w:val="0"/>
        <w:spacing w:line="240" w:lineRule="auto"/>
        <w:ind w:left="1440"/>
        <w:rPr>
          <w:rFonts w:eastAsiaTheme="minorHAnsi" w:cs="Arial"/>
          <w:color w:val="000000"/>
          <w:sz w:val="22"/>
          <w:lang w:eastAsia="en-US"/>
        </w:rPr>
      </w:pPr>
    </w:p>
    <w:p w:rsidR="00055074" w:rsidRPr="00034FD4" w:rsidRDefault="003F2BF4" w:rsidP="00055074">
      <w:pPr>
        <w:autoSpaceDE w:val="0"/>
        <w:autoSpaceDN w:val="0"/>
        <w:adjustRightInd w:val="0"/>
        <w:spacing w:line="240" w:lineRule="auto"/>
        <w:ind w:left="1440"/>
        <w:rPr>
          <w:rFonts w:eastAsiaTheme="minorHAnsi" w:cs="Arial"/>
          <w:color w:val="000000"/>
          <w:sz w:val="22"/>
          <w:lang w:eastAsia="en-US"/>
        </w:rPr>
      </w:pPr>
      <w:proofErr w:type="spellStart"/>
      <w:r w:rsidRPr="00034FD4">
        <w:rPr>
          <w:rFonts w:eastAsiaTheme="minorHAnsi" w:cs="Arial"/>
          <w:color w:val="000000"/>
          <w:sz w:val="22"/>
          <w:u w:val="single"/>
          <w:lang w:eastAsia="en-US"/>
        </w:rPr>
        <w:t>b</w:t>
      </w:r>
      <w:r w:rsidR="00055074" w:rsidRPr="00034FD4">
        <w:rPr>
          <w:rFonts w:eastAsiaTheme="minorHAnsi" w:cs="Arial"/>
          <w:strike/>
          <w:color w:val="000000"/>
          <w:sz w:val="22"/>
          <w:lang w:eastAsia="en-US"/>
        </w:rPr>
        <w:t>c</w:t>
      </w:r>
      <w:proofErr w:type="spellEnd"/>
      <w:r w:rsidR="00055074" w:rsidRPr="00034FD4">
        <w:rPr>
          <w:rFonts w:eastAsiaTheme="minorHAnsi" w:cs="Arial"/>
          <w:color w:val="000000"/>
          <w:sz w:val="22"/>
          <w:lang w:eastAsia="en-US"/>
        </w:rPr>
        <w:t xml:space="preserve">) Amounts for any currency that represents less than 25 % of the best estimate for the annuity claims provisions (discounted basis) from that non–life line of business but more than 5 % of total best estimate for all annuity claims provisions.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r w:rsidRPr="00034FD4">
        <w:rPr>
          <w:rFonts w:eastAsiaTheme="minorHAnsi" w:cs="Arial"/>
          <w:color w:val="000000"/>
          <w:sz w:val="22"/>
          <w:lang w:eastAsia="en-US"/>
        </w:rPr>
        <w:t xml:space="preserve">ii. If the best estimate for the annuity claims provisions on a discounted basis from one non–life line of business represents less than 3 % of the total best estimate for all annuity claims provisions no currency split is required, only the total for the line of business shall be reported;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r w:rsidRPr="00034FD4">
        <w:rPr>
          <w:rFonts w:eastAsiaTheme="minorHAnsi" w:cs="Arial"/>
          <w:color w:val="000000"/>
          <w:sz w:val="22"/>
          <w:lang w:eastAsia="en-US"/>
        </w:rPr>
        <w:t xml:space="preserve">iii. The information shall be reported in the original currency of the contracts unless otherwise specified.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spacing w:line="276" w:lineRule="auto"/>
        <w:rPr>
          <w:rFonts w:eastAsiaTheme="minorHAnsi" w:cs="Arial"/>
          <w:color w:val="000000"/>
          <w:sz w:val="22"/>
          <w:lang w:eastAsia="en-US"/>
        </w:rPr>
      </w:pPr>
    </w:p>
    <w:p w:rsidR="00055074" w:rsidRPr="00034FD4" w:rsidRDefault="00055074" w:rsidP="00055074">
      <w:pPr>
        <w:spacing w:line="276" w:lineRule="auto"/>
        <w:rPr>
          <w:rFonts w:eastAsiaTheme="minorHAnsi" w:cs="Arial"/>
          <w:color w:val="000000"/>
          <w:sz w:val="22"/>
          <w:lang w:eastAsia="en-US"/>
        </w:rPr>
      </w:pPr>
      <w:r w:rsidRPr="00034FD4">
        <w:rPr>
          <w:rFonts w:eastAsiaTheme="minorHAnsi" w:cs="Arial"/>
          <w:color w:val="000000"/>
          <w:sz w:val="22"/>
          <w:u w:val="single"/>
          <w:lang w:eastAsia="en-US"/>
        </w:rPr>
        <w:t>As already specified above,</w:t>
      </w:r>
      <w:r w:rsidRPr="00034FD4">
        <w:rPr>
          <w:rFonts w:eastAsiaTheme="minorHAnsi" w:cs="Arial"/>
          <w:color w:val="000000"/>
          <w:sz w:val="22"/>
          <w:lang w:eastAsia="en-US"/>
        </w:rPr>
        <w:t xml:space="preserve"> </w:t>
      </w:r>
      <w:proofErr w:type="spellStart"/>
      <w:r w:rsidRPr="00034FD4">
        <w:rPr>
          <w:rFonts w:eastAsiaTheme="minorHAnsi" w:cs="Arial"/>
          <w:strike/>
          <w:color w:val="000000"/>
          <w:sz w:val="22"/>
          <w:lang w:eastAsia="en-US"/>
        </w:rPr>
        <w:t>T</w:t>
      </w:r>
      <w:r w:rsidRPr="00034FD4">
        <w:rPr>
          <w:rFonts w:eastAsiaTheme="minorHAnsi" w:cs="Arial"/>
          <w:color w:val="000000"/>
          <w:sz w:val="22"/>
          <w:u w:val="single"/>
          <w:lang w:eastAsia="en-US"/>
        </w:rPr>
        <w:t>t</w:t>
      </w:r>
      <w:r w:rsidRPr="00034FD4">
        <w:rPr>
          <w:rFonts w:eastAsiaTheme="minorHAnsi" w:cs="Arial"/>
          <w:color w:val="000000"/>
          <w:sz w:val="22"/>
          <w:lang w:eastAsia="en-US"/>
        </w:rPr>
        <w:t>his</w:t>
      </w:r>
      <w:proofErr w:type="spellEnd"/>
      <w:r w:rsidRPr="00034FD4">
        <w:rPr>
          <w:rFonts w:eastAsiaTheme="minorHAnsi" w:cs="Arial"/>
          <w:color w:val="000000"/>
          <w:sz w:val="22"/>
          <w:lang w:eastAsia="en-US"/>
        </w:rPr>
        <w:t xml:space="preserve"> template is interlinked with the non–Life template S.19.01. The sum of technical provisions in templates S.16.01 and S.19.01 for one non–life line of business, as defined in Annex I to Delegated Regulation (EU) 2015/35, represents the total claims best estimate originating from this line of business (also refer log to template S.19.01).</w:t>
      </w:r>
    </w:p>
    <w:p w:rsidR="00055074" w:rsidRPr="00034FD4" w:rsidRDefault="00055074" w:rsidP="00055074">
      <w:pPr>
        <w:rPr>
          <w:rFonts w:cs="Arial"/>
          <w:sz w:val="22"/>
        </w:rPr>
      </w:pP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r w:rsidRPr="00034FD4">
        <w:rPr>
          <w:rFonts w:eastAsiaTheme="minorHAnsi" w:cs="Arial"/>
          <w:color w:val="000000"/>
          <w:sz w:val="22"/>
          <w:lang w:eastAsia="en-US"/>
        </w:rPr>
        <w:t xml:space="preserve">All or part of an obligation moves from S.19.01 into S.16.01, when both of the </w:t>
      </w:r>
      <w:r w:rsidRPr="00034FD4">
        <w:rPr>
          <w:rFonts w:eastAsiaTheme="minorHAnsi" w:cs="Arial"/>
          <w:color w:val="000000"/>
          <w:sz w:val="22"/>
          <w:u w:val="single"/>
          <w:lang w:eastAsia="en-US"/>
        </w:rPr>
        <w:t>below</w:t>
      </w:r>
      <w:r w:rsidRPr="00034FD4">
        <w:rPr>
          <w:rFonts w:eastAsiaTheme="minorHAnsi" w:cs="Arial"/>
          <w:color w:val="000000"/>
          <w:sz w:val="22"/>
          <w:lang w:eastAsia="en-US"/>
        </w:rPr>
        <w:t xml:space="preserve"> conditions </w:t>
      </w:r>
      <w:r w:rsidRPr="00034FD4">
        <w:rPr>
          <w:rFonts w:eastAsiaTheme="minorHAnsi" w:cs="Arial"/>
          <w:strike/>
          <w:color w:val="000000"/>
          <w:sz w:val="22"/>
          <w:lang w:eastAsia="en-US"/>
        </w:rPr>
        <w:t>below</w:t>
      </w:r>
      <w:r w:rsidRPr="00034FD4">
        <w:rPr>
          <w:rFonts w:eastAsiaTheme="minorHAnsi" w:cs="Arial"/>
          <w:color w:val="000000"/>
          <w:sz w:val="22"/>
          <w:lang w:eastAsia="en-US"/>
        </w:rPr>
        <w:t xml:space="preserve"> are met: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roofErr w:type="spellStart"/>
      <w:r w:rsidRPr="00034FD4">
        <w:rPr>
          <w:rFonts w:eastAsiaTheme="minorHAnsi" w:cs="Arial"/>
          <w:color w:val="000000"/>
          <w:sz w:val="22"/>
          <w:lang w:eastAsia="en-US"/>
        </w:rPr>
        <w:t>i</w:t>
      </w:r>
      <w:proofErr w:type="spellEnd"/>
      <w:r w:rsidRPr="00034FD4">
        <w:rPr>
          <w:rFonts w:eastAsiaTheme="minorHAnsi" w:cs="Arial"/>
          <w:color w:val="000000"/>
          <w:sz w:val="22"/>
          <w:lang w:eastAsia="en-US"/>
        </w:rPr>
        <w:t xml:space="preserve">. All or part of the obligation has been formally settled as an annuity; and </w:t>
      </w: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ind w:left="720"/>
        <w:rPr>
          <w:rFonts w:eastAsiaTheme="minorHAnsi" w:cs="Arial"/>
          <w:color w:val="000000"/>
          <w:sz w:val="22"/>
          <w:lang w:eastAsia="en-US"/>
        </w:rPr>
      </w:pPr>
      <w:r w:rsidRPr="00034FD4">
        <w:rPr>
          <w:rFonts w:eastAsiaTheme="minorHAnsi" w:cs="Arial"/>
          <w:color w:val="000000"/>
          <w:sz w:val="22"/>
          <w:lang w:eastAsia="en-US"/>
        </w:rPr>
        <w:t xml:space="preserve">ii. a best estimate of an obligation formally settled as an annuity can be established using life techniques. </w:t>
      </w: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p>
    <w:p w:rsidR="00055074" w:rsidRPr="00034FD4" w:rsidRDefault="00055074" w:rsidP="00055074">
      <w:pPr>
        <w:autoSpaceDE w:val="0"/>
        <w:autoSpaceDN w:val="0"/>
        <w:adjustRightInd w:val="0"/>
        <w:spacing w:line="240" w:lineRule="auto"/>
        <w:rPr>
          <w:rFonts w:eastAsiaTheme="minorHAnsi" w:cs="Arial"/>
          <w:strike/>
          <w:color w:val="000000"/>
          <w:sz w:val="22"/>
          <w:lang w:eastAsia="en-US"/>
        </w:rPr>
      </w:pPr>
      <w:r w:rsidRPr="00034FD4">
        <w:rPr>
          <w:rFonts w:eastAsiaTheme="minorHAnsi" w:cs="Arial"/>
          <w:strike/>
          <w:color w:val="000000"/>
          <w:sz w:val="22"/>
          <w:lang w:eastAsia="en-US"/>
        </w:rPr>
        <w:t xml:space="preserve">Formally settled as an annuity typically means that a legal process has ordered that the beneficiary is to receive payments as an annuity. </w:t>
      </w:r>
    </w:p>
    <w:p w:rsidR="00055074" w:rsidRPr="00034FD4" w:rsidRDefault="00055074" w:rsidP="00055074">
      <w:pPr>
        <w:autoSpaceDE w:val="0"/>
        <w:autoSpaceDN w:val="0"/>
        <w:adjustRightInd w:val="0"/>
        <w:spacing w:line="240" w:lineRule="auto"/>
        <w:rPr>
          <w:rFonts w:eastAsiaTheme="minorHAnsi" w:cs="Arial"/>
          <w:strike/>
          <w:color w:val="000000"/>
          <w:sz w:val="22"/>
          <w:lang w:eastAsia="en-US"/>
        </w:rPr>
      </w:pPr>
    </w:p>
    <w:p w:rsidR="00055074" w:rsidRPr="00034FD4" w:rsidRDefault="00055074" w:rsidP="00055074">
      <w:pPr>
        <w:autoSpaceDE w:val="0"/>
        <w:autoSpaceDN w:val="0"/>
        <w:adjustRightInd w:val="0"/>
        <w:spacing w:line="240" w:lineRule="auto"/>
        <w:rPr>
          <w:rFonts w:eastAsiaTheme="minorHAnsi" w:cs="Arial"/>
          <w:color w:val="000000"/>
          <w:sz w:val="22"/>
          <w:lang w:eastAsia="en-US"/>
        </w:rPr>
      </w:pPr>
      <w:r w:rsidRPr="00034FD4">
        <w:rPr>
          <w:rFonts w:eastAsiaTheme="minorHAnsi" w:cs="Arial"/>
          <w:strike/>
          <w:color w:val="000000"/>
          <w:sz w:val="22"/>
          <w:lang w:eastAsia="en-US"/>
        </w:rPr>
        <w:t>In the event that after an obligation has been formally settled as an annuity some of that obligation subsequently ends up being settled via a lump sum payment that was not in the original annuity payment order, that lump sum would be recorded as a payment in template S.16.01; i.e. there is no movement of claims data out of template S.16.01 and into S.19.01.</w:t>
      </w:r>
      <w:r w:rsidRPr="00034FD4">
        <w:rPr>
          <w:rFonts w:eastAsiaTheme="minorHAnsi" w:cs="Arial"/>
          <w:color w:val="000000"/>
          <w:sz w:val="22"/>
          <w:lang w:eastAsia="en-US"/>
        </w:rPr>
        <w:t xml:space="preserve"> </w:t>
      </w:r>
    </w:p>
    <w:p w:rsidR="00055074" w:rsidRPr="00034FD4" w:rsidRDefault="00055074" w:rsidP="00055074">
      <w:pPr>
        <w:rPr>
          <w:rFonts w:eastAsiaTheme="minorHAnsi" w:cs="Arial"/>
          <w:color w:val="000000"/>
          <w:sz w:val="22"/>
          <w:lang w:eastAsia="en-US"/>
        </w:rPr>
      </w:pPr>
    </w:p>
    <w:p w:rsidR="00055074" w:rsidRPr="00034FD4" w:rsidRDefault="00055074" w:rsidP="00055074">
      <w:pPr>
        <w:rPr>
          <w:rFonts w:eastAsiaTheme="minorHAnsi" w:cs="Arial"/>
          <w:color w:val="000000"/>
          <w:sz w:val="22"/>
          <w:lang w:eastAsia="en-US"/>
        </w:rPr>
      </w:pPr>
      <w:r w:rsidRPr="00034FD4">
        <w:rPr>
          <w:rFonts w:eastAsiaTheme="minorHAnsi" w:cs="Arial"/>
          <w:color w:val="000000"/>
          <w:sz w:val="22"/>
          <w:lang w:eastAsia="en-US"/>
        </w:rPr>
        <w:t>Year N is the reporting year.</w:t>
      </w:r>
    </w:p>
    <w:p w:rsidR="00055074" w:rsidRPr="00034FD4" w:rsidRDefault="00055074" w:rsidP="00055074">
      <w:pPr>
        <w:rPr>
          <w:rFonts w:cs="Arial"/>
          <w:sz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730"/>
        <w:gridCol w:w="7371"/>
      </w:tblGrid>
      <w:tr w:rsidR="00055074" w:rsidRPr="00034FD4" w:rsidTr="00270A50">
        <w:trPr>
          <w:trHeight w:val="385"/>
          <w:tblHeader/>
        </w:trPr>
        <w:tc>
          <w:tcPr>
            <w:tcW w:w="964" w:type="dxa"/>
          </w:tcPr>
          <w:p w:rsidR="00055074" w:rsidRPr="00034FD4" w:rsidRDefault="00055074" w:rsidP="00270A50">
            <w:pPr>
              <w:pStyle w:val="Default"/>
              <w:rPr>
                <w:rFonts w:ascii="Arial" w:hAnsi="Arial" w:cs="Arial"/>
                <w:b/>
                <w:bCs/>
                <w:sz w:val="22"/>
                <w:szCs w:val="22"/>
              </w:rPr>
            </w:pPr>
          </w:p>
        </w:tc>
        <w:tc>
          <w:tcPr>
            <w:tcW w:w="1730" w:type="dxa"/>
          </w:tcPr>
          <w:p w:rsidR="00055074" w:rsidRPr="00034FD4" w:rsidRDefault="00055074" w:rsidP="00270A50">
            <w:pPr>
              <w:pStyle w:val="Default"/>
              <w:rPr>
                <w:rFonts w:ascii="Arial" w:hAnsi="Arial" w:cs="Arial"/>
                <w:b/>
                <w:bCs/>
                <w:sz w:val="22"/>
                <w:szCs w:val="22"/>
              </w:rPr>
            </w:pPr>
            <w:r w:rsidRPr="00034FD4">
              <w:rPr>
                <w:rFonts w:ascii="Arial" w:hAnsi="Arial" w:cs="Arial"/>
                <w:b/>
                <w:bCs/>
                <w:sz w:val="22"/>
                <w:szCs w:val="22"/>
              </w:rPr>
              <w:t>ITEM</w:t>
            </w:r>
          </w:p>
        </w:tc>
        <w:tc>
          <w:tcPr>
            <w:tcW w:w="7371" w:type="dxa"/>
          </w:tcPr>
          <w:p w:rsidR="00055074" w:rsidRPr="00034FD4" w:rsidRDefault="00055074" w:rsidP="00270A50">
            <w:pPr>
              <w:pStyle w:val="Default"/>
              <w:rPr>
                <w:rFonts w:ascii="Arial" w:hAnsi="Arial" w:cs="Arial"/>
                <w:b/>
                <w:bCs/>
                <w:sz w:val="22"/>
                <w:szCs w:val="22"/>
              </w:rPr>
            </w:pPr>
            <w:r w:rsidRPr="00034FD4">
              <w:rPr>
                <w:rFonts w:ascii="Arial" w:hAnsi="Arial" w:cs="Arial"/>
                <w:b/>
                <w:bCs/>
                <w:sz w:val="22"/>
                <w:szCs w:val="22"/>
              </w:rPr>
              <w:t>INSTRUCTIONS</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Z0010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related non–life line of business </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Name of the line of business, as defined in Annex I to Delegated Regulation (EU) 2015/35.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origin of the liability (medical expense, income protection, workers' comp, motor liability etc.). All the figures in the template are stemming from the related line of business. </w:t>
            </w:r>
          </w:p>
          <w:p w:rsidR="00055074" w:rsidRPr="00034FD4" w:rsidRDefault="00055074" w:rsidP="00270A50">
            <w:pPr>
              <w:pStyle w:val="Default"/>
              <w:rPr>
                <w:rFonts w:ascii="Arial" w:hAnsi="Arial" w:cs="Arial"/>
                <w:sz w:val="22"/>
                <w:szCs w:val="22"/>
              </w:rPr>
            </w:pP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following close list shall be used: </w:t>
            </w:r>
          </w:p>
          <w:p w:rsidR="00055074" w:rsidRPr="00034FD4" w:rsidRDefault="00055074" w:rsidP="00270A50">
            <w:pPr>
              <w:pStyle w:val="Default"/>
              <w:rPr>
                <w:rFonts w:ascii="Arial" w:hAnsi="Arial" w:cs="Arial"/>
                <w:sz w:val="22"/>
                <w:szCs w:val="22"/>
              </w:rPr>
            </w:pPr>
          </w:p>
          <w:p w:rsidR="00055074" w:rsidRPr="00034FD4" w:rsidRDefault="00055074" w:rsidP="00270A50">
            <w:pPr>
              <w:pStyle w:val="Default"/>
              <w:rPr>
                <w:rFonts w:ascii="Arial" w:hAnsi="Arial" w:cs="Arial"/>
                <w:sz w:val="22"/>
                <w:szCs w:val="22"/>
              </w:rPr>
            </w:pPr>
            <w:r w:rsidRPr="00034FD4">
              <w:rPr>
                <w:rFonts w:ascii="Arial" w:hAnsi="Arial" w:cs="Arial"/>
                <w:sz w:val="22"/>
                <w:szCs w:val="22"/>
              </w:rPr>
              <w:t>1 —</w:t>
            </w:r>
            <w:r w:rsidRPr="00034FD4">
              <w:rPr>
                <w:rFonts w:ascii="Arial" w:hAnsi="Arial" w:cs="Arial"/>
                <w:strike/>
                <w:sz w:val="22"/>
                <w:szCs w:val="22"/>
              </w:rPr>
              <w:t xml:space="preserve"> 1 and 13</w:t>
            </w:r>
            <w:r w:rsidRPr="00034FD4">
              <w:rPr>
                <w:rFonts w:ascii="Arial" w:hAnsi="Arial" w:cs="Arial"/>
                <w:sz w:val="22"/>
                <w:szCs w:val="22"/>
              </w:rPr>
              <w:t xml:space="preserve"> Medical expense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2 — </w:t>
            </w:r>
            <w:r w:rsidRPr="00034FD4">
              <w:rPr>
                <w:rFonts w:ascii="Arial" w:hAnsi="Arial" w:cs="Arial"/>
                <w:strike/>
                <w:sz w:val="22"/>
                <w:szCs w:val="22"/>
              </w:rPr>
              <w:t>2 and 14</w:t>
            </w:r>
            <w:r w:rsidRPr="00034FD4">
              <w:rPr>
                <w:rFonts w:ascii="Arial" w:hAnsi="Arial" w:cs="Arial"/>
                <w:sz w:val="22"/>
                <w:szCs w:val="22"/>
              </w:rPr>
              <w:t xml:space="preserve"> Income protection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3 — </w:t>
            </w:r>
            <w:r w:rsidRPr="00034FD4">
              <w:rPr>
                <w:rFonts w:ascii="Arial" w:hAnsi="Arial" w:cs="Arial"/>
                <w:strike/>
                <w:sz w:val="22"/>
                <w:szCs w:val="22"/>
              </w:rPr>
              <w:t>3 and 15</w:t>
            </w:r>
            <w:r w:rsidRPr="00034FD4">
              <w:rPr>
                <w:rFonts w:ascii="Arial" w:hAnsi="Arial" w:cs="Arial"/>
                <w:sz w:val="22"/>
                <w:szCs w:val="22"/>
              </w:rPr>
              <w:t xml:space="preserve"> Workers' compensation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4 — </w:t>
            </w:r>
            <w:r w:rsidRPr="00034FD4">
              <w:rPr>
                <w:rFonts w:ascii="Arial" w:hAnsi="Arial" w:cs="Arial"/>
                <w:strike/>
                <w:sz w:val="22"/>
                <w:szCs w:val="22"/>
              </w:rPr>
              <w:t>4 and 16</w:t>
            </w:r>
            <w:r w:rsidRPr="00034FD4">
              <w:rPr>
                <w:rFonts w:ascii="Arial" w:hAnsi="Arial" w:cs="Arial"/>
                <w:sz w:val="22"/>
                <w:szCs w:val="22"/>
              </w:rPr>
              <w:t xml:space="preserve"> Motor vehicle liability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5 — </w:t>
            </w:r>
            <w:r w:rsidRPr="00034FD4">
              <w:rPr>
                <w:rFonts w:ascii="Arial" w:hAnsi="Arial" w:cs="Arial"/>
                <w:strike/>
                <w:sz w:val="22"/>
                <w:szCs w:val="22"/>
              </w:rPr>
              <w:t>5 and 17</w:t>
            </w:r>
            <w:r w:rsidRPr="00034FD4">
              <w:rPr>
                <w:rFonts w:ascii="Arial" w:hAnsi="Arial" w:cs="Arial"/>
                <w:sz w:val="22"/>
                <w:szCs w:val="22"/>
              </w:rPr>
              <w:t xml:space="preserve"> Other motor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6 — </w:t>
            </w:r>
            <w:r w:rsidRPr="00034FD4">
              <w:rPr>
                <w:rFonts w:ascii="Arial" w:hAnsi="Arial" w:cs="Arial"/>
                <w:strike/>
                <w:sz w:val="22"/>
                <w:szCs w:val="22"/>
              </w:rPr>
              <w:t>6 and 18</w:t>
            </w:r>
            <w:r w:rsidRPr="00034FD4">
              <w:rPr>
                <w:rFonts w:ascii="Arial" w:hAnsi="Arial" w:cs="Arial"/>
                <w:sz w:val="22"/>
                <w:szCs w:val="22"/>
              </w:rPr>
              <w:t xml:space="preserve"> Marine, aviation</w:t>
            </w:r>
            <w:r w:rsidR="00A45066">
              <w:rPr>
                <w:rFonts w:ascii="Arial" w:hAnsi="Arial" w:cs="Arial"/>
                <w:sz w:val="22"/>
                <w:szCs w:val="22"/>
              </w:rPr>
              <w:t>,</w:t>
            </w:r>
            <w:r w:rsidRPr="00034FD4">
              <w:rPr>
                <w:rFonts w:ascii="Arial" w:hAnsi="Arial" w:cs="Arial"/>
                <w:sz w:val="22"/>
                <w:szCs w:val="22"/>
              </w:rPr>
              <w:t xml:space="preserve"> and transport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7 — </w:t>
            </w:r>
            <w:r w:rsidRPr="00034FD4">
              <w:rPr>
                <w:rFonts w:ascii="Arial" w:hAnsi="Arial" w:cs="Arial"/>
                <w:strike/>
                <w:sz w:val="22"/>
                <w:szCs w:val="22"/>
              </w:rPr>
              <w:t>7 and 19</w:t>
            </w:r>
            <w:r w:rsidRPr="00034FD4">
              <w:rPr>
                <w:rFonts w:ascii="Arial" w:hAnsi="Arial" w:cs="Arial"/>
                <w:sz w:val="22"/>
                <w:szCs w:val="22"/>
              </w:rPr>
              <w:t xml:space="preserve"> Fire and other damage to property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8 — </w:t>
            </w:r>
            <w:r w:rsidRPr="00034FD4">
              <w:rPr>
                <w:rFonts w:ascii="Arial" w:hAnsi="Arial" w:cs="Arial"/>
                <w:strike/>
                <w:sz w:val="22"/>
                <w:szCs w:val="22"/>
              </w:rPr>
              <w:t>8 and 20</w:t>
            </w:r>
            <w:r w:rsidRPr="00034FD4">
              <w:rPr>
                <w:rFonts w:ascii="Arial" w:hAnsi="Arial" w:cs="Arial"/>
                <w:sz w:val="22"/>
                <w:szCs w:val="22"/>
              </w:rPr>
              <w:t xml:space="preserve"> General liability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9 — </w:t>
            </w:r>
            <w:r w:rsidRPr="00034FD4">
              <w:rPr>
                <w:rFonts w:ascii="Arial" w:hAnsi="Arial" w:cs="Arial"/>
                <w:strike/>
                <w:sz w:val="22"/>
                <w:szCs w:val="22"/>
              </w:rPr>
              <w:t>9 and 21</w:t>
            </w:r>
            <w:r w:rsidRPr="00034FD4">
              <w:rPr>
                <w:rFonts w:ascii="Arial" w:hAnsi="Arial" w:cs="Arial"/>
                <w:sz w:val="22"/>
                <w:szCs w:val="22"/>
              </w:rPr>
              <w:t xml:space="preserve"> Credit and suretyship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10 — </w:t>
            </w:r>
            <w:r w:rsidRPr="00034FD4">
              <w:rPr>
                <w:rFonts w:ascii="Arial" w:hAnsi="Arial" w:cs="Arial"/>
                <w:strike/>
                <w:sz w:val="22"/>
                <w:szCs w:val="22"/>
              </w:rPr>
              <w:t>10 and 22</w:t>
            </w:r>
            <w:r w:rsidRPr="00034FD4">
              <w:rPr>
                <w:rFonts w:ascii="Arial" w:hAnsi="Arial" w:cs="Arial"/>
                <w:sz w:val="22"/>
                <w:szCs w:val="22"/>
              </w:rPr>
              <w:t xml:space="preserve"> Legal expenses insurance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11 — </w:t>
            </w:r>
            <w:r w:rsidRPr="00034FD4">
              <w:rPr>
                <w:rFonts w:ascii="Arial" w:hAnsi="Arial" w:cs="Arial"/>
                <w:strike/>
                <w:sz w:val="22"/>
                <w:szCs w:val="22"/>
              </w:rPr>
              <w:t>11 and 23</w:t>
            </w:r>
            <w:r w:rsidRPr="00034FD4">
              <w:rPr>
                <w:rFonts w:ascii="Arial" w:hAnsi="Arial" w:cs="Arial"/>
                <w:sz w:val="22"/>
                <w:szCs w:val="22"/>
              </w:rPr>
              <w:t xml:space="preserve"> Assistance </w:t>
            </w:r>
          </w:p>
          <w:p w:rsidR="00055074" w:rsidRPr="00034FD4" w:rsidRDefault="00055074" w:rsidP="00270A50">
            <w:pPr>
              <w:pStyle w:val="Default"/>
              <w:spacing w:after="60"/>
              <w:rPr>
                <w:rFonts w:ascii="Arial" w:hAnsi="Arial" w:cs="Arial"/>
                <w:sz w:val="22"/>
                <w:szCs w:val="22"/>
              </w:rPr>
            </w:pPr>
            <w:r w:rsidRPr="00034FD4">
              <w:rPr>
                <w:rFonts w:ascii="Arial" w:hAnsi="Arial" w:cs="Arial"/>
                <w:sz w:val="22"/>
                <w:szCs w:val="22"/>
              </w:rPr>
              <w:t xml:space="preserve">12 — </w:t>
            </w:r>
            <w:r w:rsidRPr="00034FD4">
              <w:rPr>
                <w:rFonts w:ascii="Arial" w:hAnsi="Arial" w:cs="Arial"/>
                <w:strike/>
                <w:sz w:val="22"/>
                <w:szCs w:val="22"/>
              </w:rPr>
              <w:t>12 and 24</w:t>
            </w:r>
            <w:r w:rsidRPr="00034FD4">
              <w:rPr>
                <w:rFonts w:ascii="Arial" w:hAnsi="Arial" w:cs="Arial"/>
                <w:sz w:val="22"/>
                <w:szCs w:val="22"/>
              </w:rPr>
              <w:t xml:space="preserve"> Miscellaneous financial loss </w:t>
            </w:r>
          </w:p>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 xml:space="preserve">25 — Non–proportional health reinsurance </w:t>
            </w:r>
          </w:p>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 xml:space="preserve">26 — Non–proportional casualty reinsurance </w:t>
            </w:r>
          </w:p>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 xml:space="preserve">27 — Non–proportional marine, aviation and transport reinsurance </w:t>
            </w:r>
          </w:p>
          <w:p w:rsidR="00055074" w:rsidRPr="00034FD4" w:rsidRDefault="00055074" w:rsidP="00270A50">
            <w:pPr>
              <w:pStyle w:val="Default"/>
              <w:spacing w:after="120"/>
              <w:rPr>
                <w:rFonts w:ascii="Arial" w:hAnsi="Arial" w:cs="Arial"/>
                <w:sz w:val="22"/>
                <w:szCs w:val="22"/>
                <w:u w:val="single"/>
              </w:rPr>
            </w:pPr>
            <w:r w:rsidRPr="00034FD4">
              <w:rPr>
                <w:rFonts w:ascii="Arial" w:hAnsi="Arial" w:cs="Arial"/>
                <w:strike/>
                <w:sz w:val="22"/>
                <w:szCs w:val="22"/>
              </w:rPr>
              <w:t>28 — Non–proportional property reinsurance</w:t>
            </w:r>
            <w:r w:rsidRPr="00034FD4">
              <w:rPr>
                <w:rFonts w:ascii="Arial" w:hAnsi="Arial" w:cs="Arial"/>
                <w:sz w:val="22"/>
                <w:szCs w:val="22"/>
              </w:rPr>
              <w:t xml:space="preserve">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Z0020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Accident year/Underwriting year </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Report the standard used by the undertakings for reporting of claims development.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following close list shall be used: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1 — Accident year </w:t>
            </w:r>
          </w:p>
          <w:p w:rsidR="00055074" w:rsidRPr="00034FD4" w:rsidRDefault="00055074" w:rsidP="00270A50">
            <w:pPr>
              <w:pStyle w:val="Default"/>
              <w:spacing w:after="120"/>
              <w:rPr>
                <w:rFonts w:ascii="Arial" w:hAnsi="Arial" w:cs="Arial"/>
                <w:sz w:val="22"/>
                <w:szCs w:val="22"/>
              </w:rPr>
            </w:pPr>
            <w:r w:rsidRPr="00034FD4">
              <w:rPr>
                <w:rFonts w:ascii="Arial" w:hAnsi="Arial" w:cs="Arial"/>
                <w:sz w:val="22"/>
                <w:szCs w:val="22"/>
              </w:rPr>
              <w:t xml:space="preserve">2 — Underwriting year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Z0030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Currency </w:t>
            </w:r>
          </w:p>
        </w:tc>
        <w:tc>
          <w:tcPr>
            <w:tcW w:w="7371" w:type="dxa"/>
            <w:shd w:val="clear" w:color="auto" w:fill="auto"/>
          </w:tcPr>
          <w:p w:rsidR="00055074" w:rsidRPr="00034FD4" w:rsidRDefault="00055074" w:rsidP="000B5BFB">
            <w:pPr>
              <w:pStyle w:val="Default"/>
              <w:spacing w:after="120"/>
              <w:rPr>
                <w:rFonts w:ascii="Arial" w:hAnsi="Arial" w:cs="Arial"/>
                <w:sz w:val="22"/>
                <w:szCs w:val="22"/>
              </w:rPr>
            </w:pPr>
            <w:r w:rsidRPr="00034FD4">
              <w:rPr>
                <w:rFonts w:ascii="Arial" w:hAnsi="Arial" w:cs="Arial"/>
                <w:sz w:val="22"/>
                <w:szCs w:val="22"/>
              </w:rPr>
              <w:t xml:space="preserve">Identify the ISO 4217 alphabetic code of the settlement currency of the obligation. All amounts, not reported by currency, are reported in the undertaking's reporting currency. </w:t>
            </w:r>
          </w:p>
          <w:p w:rsidR="00055074" w:rsidRPr="00034FD4" w:rsidRDefault="00055074" w:rsidP="000B5BFB">
            <w:pPr>
              <w:pStyle w:val="Default"/>
              <w:spacing w:after="120"/>
              <w:rPr>
                <w:rFonts w:ascii="Arial" w:hAnsi="Arial" w:cs="Arial"/>
                <w:sz w:val="22"/>
                <w:szCs w:val="22"/>
                <w:u w:val="single"/>
              </w:rPr>
            </w:pPr>
            <w:r w:rsidRPr="00034FD4">
              <w:rPr>
                <w:rFonts w:ascii="Arial" w:hAnsi="Arial" w:cs="Arial"/>
                <w:sz w:val="22"/>
                <w:szCs w:val="22"/>
              </w:rPr>
              <w:t xml:space="preserve">This item shall be filled in with ‘Total’ when reporting the total for the line of business, as defined in Annex I to Delegated Regulation (EU) 2015/35.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Z0040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Currency conversion</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Identify if the information reported by currency is being reported in the original currency (default) or in the reporting currency (otherwise specified). The following close list shall be used: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1 — Original currency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2 — Reporting currency </w:t>
            </w:r>
          </w:p>
          <w:p w:rsidR="00055074" w:rsidRPr="00034FD4" w:rsidRDefault="00055074" w:rsidP="00270A50">
            <w:pPr>
              <w:pStyle w:val="Default"/>
              <w:spacing w:after="120"/>
              <w:rPr>
                <w:rFonts w:ascii="Arial" w:hAnsi="Arial" w:cs="Arial"/>
                <w:sz w:val="22"/>
                <w:szCs w:val="22"/>
              </w:rPr>
            </w:pPr>
            <w:r w:rsidRPr="00034FD4">
              <w:rPr>
                <w:rFonts w:ascii="Arial" w:hAnsi="Arial" w:cs="Arial"/>
                <w:sz w:val="22"/>
                <w:szCs w:val="22"/>
              </w:rPr>
              <w:t xml:space="preserve">Only applicable when reporting by currency.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p>
        </w:tc>
        <w:tc>
          <w:tcPr>
            <w:tcW w:w="9101" w:type="dxa"/>
            <w:gridSpan w:val="2"/>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iCs/>
                <w:sz w:val="22"/>
                <w:szCs w:val="22"/>
              </w:rPr>
              <w:t xml:space="preserve">Information on year N: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C0010 / R0010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average interest rate </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average interest rate used in percentage (as a decimal) for the end of year N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C0010 / R0020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average duration of the obligations </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Average duration in years on total obligations basis for the end of the year N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C0010 / R0030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The weighted average age of the beneficiaries</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weight shall be the Best Estimate for annuity claims provisions at the end of year N. Age of beneficiaries calculated on a weighted average for total obligations. </w:t>
            </w:r>
          </w:p>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The beneficiary is the person to whom the payments are reverting to, following the occurrence of a claim (that affects the insured person) which originates this type of payment. </w:t>
            </w:r>
          </w:p>
          <w:p w:rsidR="00055074" w:rsidRPr="00034FD4" w:rsidRDefault="00055074" w:rsidP="00270A50">
            <w:pPr>
              <w:pStyle w:val="Default"/>
              <w:spacing w:after="120"/>
              <w:rPr>
                <w:rFonts w:ascii="Arial" w:hAnsi="Arial" w:cs="Arial"/>
                <w:sz w:val="22"/>
                <w:szCs w:val="22"/>
              </w:rPr>
            </w:pPr>
            <w:r w:rsidRPr="00034FD4">
              <w:rPr>
                <w:rFonts w:ascii="Arial" w:hAnsi="Arial" w:cs="Arial"/>
                <w:sz w:val="22"/>
                <w:szCs w:val="22"/>
              </w:rPr>
              <w:t xml:space="preserve">Information should be considered gross of reinsurance.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p>
        </w:tc>
        <w:tc>
          <w:tcPr>
            <w:tcW w:w="9101" w:type="dxa"/>
            <w:gridSpan w:val="2"/>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iCs/>
                <w:sz w:val="22"/>
                <w:szCs w:val="22"/>
              </w:rPr>
              <w:t>Annuities information:</w:t>
            </w:r>
          </w:p>
        </w:tc>
      </w:tr>
      <w:tr w:rsidR="00055074" w:rsidRPr="00034FD4" w:rsidTr="00055074">
        <w:trPr>
          <w:trHeight w:val="385"/>
        </w:trPr>
        <w:tc>
          <w:tcPr>
            <w:tcW w:w="964" w:type="dxa"/>
            <w:shd w:val="clear" w:color="auto" w:fill="auto"/>
          </w:tcPr>
          <w:p w:rsidR="00055074" w:rsidRPr="00034FD4" w:rsidRDefault="00055074" w:rsidP="00270A50">
            <w:pPr>
              <w:pStyle w:val="Default"/>
              <w:rPr>
                <w:rFonts w:ascii="Arial" w:hAnsi="Arial" w:cs="Arial"/>
                <w:sz w:val="22"/>
                <w:szCs w:val="22"/>
                <w:u w:val="single"/>
              </w:rPr>
            </w:pPr>
            <w:r w:rsidRPr="00034FD4">
              <w:rPr>
                <w:rFonts w:ascii="Arial" w:hAnsi="Arial" w:cs="Arial"/>
                <w:sz w:val="22"/>
                <w:szCs w:val="22"/>
                <w:u w:val="single"/>
              </w:rPr>
              <w:t>C0013/R0040–R0190</w:t>
            </w:r>
          </w:p>
        </w:tc>
        <w:tc>
          <w:tcPr>
            <w:tcW w:w="1730" w:type="dxa"/>
            <w:shd w:val="clear" w:color="auto" w:fill="auto"/>
          </w:tcPr>
          <w:p w:rsidR="00055074" w:rsidRPr="00034FD4" w:rsidRDefault="00055074" w:rsidP="00270A50">
            <w:pPr>
              <w:pStyle w:val="Default"/>
              <w:rPr>
                <w:rFonts w:ascii="Arial" w:hAnsi="Arial" w:cs="Arial"/>
                <w:sz w:val="22"/>
                <w:szCs w:val="22"/>
                <w:u w:val="single"/>
              </w:rPr>
            </w:pPr>
            <w:r w:rsidRPr="00034FD4">
              <w:rPr>
                <w:rFonts w:ascii="Arial" w:hAnsi="Arial" w:cs="Arial"/>
                <w:sz w:val="22"/>
                <w:szCs w:val="22"/>
                <w:u w:val="single"/>
              </w:rPr>
              <w:t>RBNS prior to claim being designated a non-life annuity claim</w:t>
            </w:r>
          </w:p>
        </w:tc>
        <w:tc>
          <w:tcPr>
            <w:tcW w:w="7371" w:type="dxa"/>
            <w:shd w:val="clear" w:color="auto" w:fill="auto"/>
          </w:tcPr>
          <w:p w:rsidR="00FD5AF8" w:rsidRPr="00034FD4" w:rsidRDefault="007762EC" w:rsidP="00270A50">
            <w:pPr>
              <w:pStyle w:val="Default"/>
              <w:rPr>
                <w:rFonts w:ascii="Arial" w:hAnsi="Arial" w:cs="Arial"/>
                <w:sz w:val="22"/>
                <w:szCs w:val="22"/>
                <w:u w:val="single"/>
              </w:rPr>
            </w:pPr>
            <w:r w:rsidRPr="00034FD4">
              <w:rPr>
                <w:rFonts w:ascii="Arial" w:hAnsi="Arial" w:cs="Arial"/>
                <w:sz w:val="22"/>
                <w:szCs w:val="22"/>
                <w:u w:val="single"/>
              </w:rPr>
              <w:t>The reported but not settled (RBNS) amount for the claim at the last quarter</w:t>
            </w:r>
            <w:r w:rsidR="00311A37" w:rsidRPr="00034FD4">
              <w:rPr>
                <w:rFonts w:ascii="Arial" w:hAnsi="Arial" w:cs="Arial"/>
                <w:sz w:val="22"/>
                <w:szCs w:val="22"/>
                <w:u w:val="single"/>
              </w:rPr>
              <w:t>-</w:t>
            </w:r>
            <w:r w:rsidRPr="00034FD4">
              <w:rPr>
                <w:rFonts w:ascii="Arial" w:hAnsi="Arial" w:cs="Arial"/>
                <w:sz w:val="22"/>
                <w:szCs w:val="22"/>
                <w:u w:val="single"/>
              </w:rPr>
              <w:t xml:space="preserve">end </w:t>
            </w:r>
            <w:r w:rsidR="00FD5AF8" w:rsidRPr="00034FD4">
              <w:rPr>
                <w:rFonts w:ascii="Arial" w:hAnsi="Arial" w:cs="Arial"/>
                <w:sz w:val="22"/>
                <w:szCs w:val="22"/>
                <w:u w:val="single"/>
              </w:rPr>
              <w:t>when the claim was allocated to the line of business reported in Z0010 (</w:t>
            </w:r>
            <w:proofErr w:type="spellStart"/>
            <w:r w:rsidR="00FD5AF8" w:rsidRPr="00034FD4">
              <w:rPr>
                <w:rFonts w:ascii="Arial" w:hAnsi="Arial" w:cs="Arial"/>
                <w:sz w:val="22"/>
                <w:szCs w:val="22"/>
                <w:u w:val="single"/>
              </w:rPr>
              <w:t>ie</w:t>
            </w:r>
            <w:proofErr w:type="spellEnd"/>
            <w:r w:rsidR="00FD5AF8" w:rsidRPr="00034FD4">
              <w:rPr>
                <w:rFonts w:ascii="Arial" w:hAnsi="Arial" w:cs="Arial"/>
                <w:sz w:val="22"/>
                <w:szCs w:val="22"/>
                <w:u w:val="single"/>
              </w:rPr>
              <w:t xml:space="preserve"> the last quarter end </w:t>
            </w:r>
            <w:r w:rsidRPr="00034FD4">
              <w:rPr>
                <w:rFonts w:ascii="Arial" w:hAnsi="Arial" w:cs="Arial"/>
                <w:sz w:val="22"/>
                <w:szCs w:val="22"/>
                <w:u w:val="single"/>
              </w:rPr>
              <w:t>prior to the claim being designated a non-life annuity claim</w:t>
            </w:r>
            <w:r w:rsidR="00FD5AF8" w:rsidRPr="00034FD4">
              <w:rPr>
                <w:rFonts w:ascii="Arial" w:hAnsi="Arial" w:cs="Arial"/>
                <w:sz w:val="22"/>
                <w:szCs w:val="22"/>
                <w:u w:val="single"/>
              </w:rPr>
              <w:t>.</w:t>
            </w:r>
            <w:r w:rsidRPr="00034FD4">
              <w:rPr>
                <w:rFonts w:ascii="Arial" w:hAnsi="Arial" w:cs="Arial"/>
                <w:sz w:val="22"/>
                <w:szCs w:val="22"/>
                <w:u w:val="single"/>
              </w:rPr>
              <w:t xml:space="preserve"> </w:t>
            </w:r>
          </w:p>
          <w:p w:rsidR="00E171E8" w:rsidRPr="00034FD4" w:rsidRDefault="00E171E8" w:rsidP="00270A50">
            <w:pPr>
              <w:pStyle w:val="Default"/>
              <w:rPr>
                <w:rFonts w:ascii="Arial" w:hAnsi="Arial" w:cs="Arial"/>
                <w:sz w:val="22"/>
                <w:szCs w:val="22"/>
                <w:u w:val="single"/>
              </w:rPr>
            </w:pPr>
          </w:p>
          <w:p w:rsidR="00E171E8" w:rsidRPr="00034FD4" w:rsidRDefault="00E171E8" w:rsidP="00270A50">
            <w:pPr>
              <w:pStyle w:val="Default"/>
              <w:rPr>
                <w:rFonts w:ascii="Arial" w:hAnsi="Arial" w:cs="Arial"/>
                <w:sz w:val="22"/>
                <w:szCs w:val="22"/>
                <w:u w:val="single"/>
              </w:rPr>
            </w:pPr>
            <w:proofErr w:type="spellStart"/>
            <w:r w:rsidRPr="00034FD4">
              <w:rPr>
                <w:rFonts w:ascii="Arial" w:hAnsi="Arial" w:cs="Arial"/>
                <w:sz w:val="22"/>
                <w:szCs w:val="22"/>
                <w:u w:val="single"/>
              </w:rPr>
              <w:t>Eg</w:t>
            </w:r>
            <w:proofErr w:type="spellEnd"/>
            <w:r w:rsidRPr="00034FD4">
              <w:rPr>
                <w:rFonts w:ascii="Arial" w:hAnsi="Arial" w:cs="Arial"/>
                <w:sz w:val="22"/>
                <w:szCs w:val="22"/>
                <w:u w:val="single"/>
              </w:rPr>
              <w:t xml:space="preserve"> suppose a firm has a 31 December year-end and the firm designated a non-life claim to be a non-life annuity claim on 29 August in a particular calendar yea</w:t>
            </w:r>
            <w:r w:rsidR="002F6F76" w:rsidRPr="00034FD4">
              <w:rPr>
                <w:rFonts w:ascii="Arial" w:hAnsi="Arial" w:cs="Arial"/>
                <w:sz w:val="22"/>
                <w:szCs w:val="22"/>
                <w:u w:val="single"/>
              </w:rPr>
              <w:t>r</w:t>
            </w:r>
            <w:r w:rsidRPr="00034FD4">
              <w:rPr>
                <w:rFonts w:ascii="Arial" w:hAnsi="Arial" w:cs="Arial"/>
                <w:sz w:val="22"/>
                <w:szCs w:val="22"/>
                <w:u w:val="single"/>
              </w:rPr>
              <w:t xml:space="preserve">, the RBNS amount for this is to be the RBNS at 30 June in that calendar year.   </w:t>
            </w:r>
          </w:p>
          <w:p w:rsidR="00FD5AF8" w:rsidRPr="00034FD4" w:rsidRDefault="00FD5AF8" w:rsidP="00270A50">
            <w:pPr>
              <w:pStyle w:val="Default"/>
              <w:rPr>
                <w:rFonts w:ascii="Arial" w:hAnsi="Arial" w:cs="Arial"/>
                <w:sz w:val="22"/>
                <w:szCs w:val="22"/>
                <w:u w:val="single"/>
              </w:rPr>
            </w:pPr>
          </w:p>
          <w:p w:rsidR="007762EC" w:rsidRPr="00034FD4" w:rsidRDefault="00D46993" w:rsidP="00D46993">
            <w:pPr>
              <w:pStyle w:val="Default"/>
              <w:spacing w:after="120"/>
              <w:rPr>
                <w:rFonts w:ascii="Arial" w:hAnsi="Arial" w:cs="Arial"/>
                <w:sz w:val="22"/>
                <w:szCs w:val="22"/>
                <w:u w:val="single"/>
              </w:rPr>
            </w:pPr>
            <w:r w:rsidRPr="00034FD4">
              <w:rPr>
                <w:rFonts w:ascii="Arial" w:hAnsi="Arial" w:cs="Arial"/>
                <w:sz w:val="22"/>
                <w:szCs w:val="22"/>
                <w:u w:val="single"/>
              </w:rPr>
              <w:t xml:space="preserve">This RBNS amount is to include </w:t>
            </w:r>
            <w:r w:rsidR="00A85850" w:rsidRPr="00034FD4">
              <w:rPr>
                <w:rFonts w:ascii="Arial" w:hAnsi="Arial" w:cs="Arial"/>
                <w:sz w:val="22"/>
                <w:szCs w:val="22"/>
                <w:u w:val="single"/>
              </w:rPr>
              <w:t>‘allocated loss adjustment expenses’</w:t>
            </w:r>
            <w:r w:rsidRPr="00034FD4">
              <w:rPr>
                <w:rFonts w:ascii="Arial" w:hAnsi="Arial" w:cs="Arial"/>
                <w:sz w:val="22"/>
                <w:szCs w:val="22"/>
                <w:u w:val="single"/>
              </w:rPr>
              <w:t>.</w:t>
            </w:r>
          </w:p>
        </w:tc>
      </w:tr>
      <w:tr w:rsidR="00055074" w:rsidRPr="00034FD4" w:rsidTr="00055074">
        <w:trPr>
          <w:trHeight w:val="385"/>
        </w:trPr>
        <w:tc>
          <w:tcPr>
            <w:tcW w:w="964" w:type="dxa"/>
            <w:shd w:val="clear" w:color="auto" w:fill="auto"/>
          </w:tcPr>
          <w:p w:rsidR="00055074" w:rsidRPr="00034FD4" w:rsidRDefault="00055074" w:rsidP="00270A50">
            <w:pPr>
              <w:pStyle w:val="Default"/>
              <w:rPr>
                <w:rFonts w:ascii="Arial" w:hAnsi="Arial" w:cs="Arial"/>
                <w:sz w:val="22"/>
                <w:szCs w:val="22"/>
                <w:u w:val="single"/>
              </w:rPr>
            </w:pPr>
            <w:r w:rsidRPr="00034FD4">
              <w:rPr>
                <w:rFonts w:ascii="Arial" w:hAnsi="Arial" w:cs="Arial"/>
                <w:sz w:val="22"/>
                <w:szCs w:val="22"/>
                <w:u w:val="single"/>
              </w:rPr>
              <w:t>C0014/R0040–R0190</w:t>
            </w:r>
          </w:p>
        </w:tc>
        <w:tc>
          <w:tcPr>
            <w:tcW w:w="1730" w:type="dxa"/>
            <w:shd w:val="clear" w:color="auto" w:fill="auto"/>
          </w:tcPr>
          <w:p w:rsidR="00055074" w:rsidRPr="00034FD4" w:rsidRDefault="00055074" w:rsidP="008B4429">
            <w:pPr>
              <w:pStyle w:val="Default"/>
              <w:spacing w:after="120"/>
              <w:rPr>
                <w:rFonts w:ascii="Arial" w:hAnsi="Arial" w:cs="Arial"/>
                <w:sz w:val="22"/>
                <w:szCs w:val="22"/>
                <w:u w:val="single"/>
              </w:rPr>
            </w:pPr>
            <w:r w:rsidRPr="00034FD4">
              <w:rPr>
                <w:rFonts w:ascii="Arial" w:hAnsi="Arial" w:cs="Arial"/>
                <w:sz w:val="22"/>
                <w:szCs w:val="22"/>
                <w:u w:val="single"/>
              </w:rPr>
              <w:t xml:space="preserve">Lump sum paid </w:t>
            </w:r>
            <w:r w:rsidR="00386EF4" w:rsidRPr="00034FD4">
              <w:rPr>
                <w:rFonts w:ascii="Arial" w:hAnsi="Arial" w:cs="Arial"/>
                <w:sz w:val="22"/>
                <w:szCs w:val="22"/>
                <w:u w:val="single"/>
              </w:rPr>
              <w:t xml:space="preserve">when claim </w:t>
            </w:r>
            <w:r w:rsidR="008B4429" w:rsidRPr="00034FD4">
              <w:rPr>
                <w:rFonts w:ascii="Arial" w:hAnsi="Arial" w:cs="Arial"/>
                <w:sz w:val="22"/>
                <w:szCs w:val="22"/>
                <w:u w:val="single"/>
              </w:rPr>
              <w:t>wa</w:t>
            </w:r>
            <w:r w:rsidR="00386EF4" w:rsidRPr="00034FD4">
              <w:rPr>
                <w:rFonts w:ascii="Arial" w:hAnsi="Arial" w:cs="Arial"/>
                <w:sz w:val="22"/>
                <w:szCs w:val="22"/>
                <w:u w:val="single"/>
              </w:rPr>
              <w:t xml:space="preserve">s designated a non-life annuity claim </w:t>
            </w:r>
          </w:p>
        </w:tc>
        <w:tc>
          <w:tcPr>
            <w:tcW w:w="7371" w:type="dxa"/>
            <w:shd w:val="clear" w:color="auto" w:fill="auto"/>
          </w:tcPr>
          <w:p w:rsidR="00055074" w:rsidRPr="00034FD4" w:rsidRDefault="00386EF4" w:rsidP="00270A50">
            <w:pPr>
              <w:pStyle w:val="Default"/>
              <w:rPr>
                <w:rFonts w:ascii="Arial" w:hAnsi="Arial" w:cs="Arial"/>
                <w:sz w:val="22"/>
                <w:szCs w:val="22"/>
                <w:u w:val="single"/>
              </w:rPr>
            </w:pPr>
            <w:r w:rsidRPr="00034FD4">
              <w:rPr>
                <w:rFonts w:ascii="Arial" w:hAnsi="Arial" w:cs="Arial"/>
                <w:sz w:val="22"/>
                <w:szCs w:val="22"/>
                <w:u w:val="single"/>
              </w:rPr>
              <w:t xml:space="preserve">Amount of any lump sum that the firm paid or agreed to pay on the date </w:t>
            </w:r>
            <w:r w:rsidR="008B4429" w:rsidRPr="00034FD4">
              <w:rPr>
                <w:rFonts w:ascii="Arial" w:hAnsi="Arial" w:cs="Arial"/>
                <w:sz w:val="22"/>
                <w:szCs w:val="22"/>
                <w:u w:val="single"/>
              </w:rPr>
              <w:t>when the claim was designated a non-life annuity claim.</w:t>
            </w:r>
          </w:p>
        </w:tc>
      </w:tr>
      <w:tr w:rsidR="00055074" w:rsidRPr="00034FD4" w:rsidTr="00055074">
        <w:trPr>
          <w:trHeight w:val="385"/>
        </w:trPr>
        <w:tc>
          <w:tcPr>
            <w:tcW w:w="964" w:type="dxa"/>
            <w:shd w:val="clear" w:color="auto" w:fill="auto"/>
          </w:tcPr>
          <w:p w:rsidR="00055074" w:rsidRPr="00034FD4" w:rsidRDefault="00055074" w:rsidP="00270A50">
            <w:pPr>
              <w:pStyle w:val="Default"/>
              <w:rPr>
                <w:rFonts w:ascii="Arial" w:hAnsi="Arial" w:cs="Arial"/>
                <w:sz w:val="22"/>
                <w:szCs w:val="22"/>
                <w:u w:val="single"/>
              </w:rPr>
            </w:pPr>
            <w:r w:rsidRPr="00034FD4">
              <w:rPr>
                <w:rFonts w:ascii="Arial" w:hAnsi="Arial" w:cs="Arial"/>
                <w:sz w:val="22"/>
                <w:szCs w:val="22"/>
                <w:u w:val="single"/>
              </w:rPr>
              <w:t>C0015/R0040–R0190</w:t>
            </w:r>
          </w:p>
        </w:tc>
        <w:tc>
          <w:tcPr>
            <w:tcW w:w="1730" w:type="dxa"/>
            <w:shd w:val="clear" w:color="auto" w:fill="auto"/>
          </w:tcPr>
          <w:p w:rsidR="00055074" w:rsidRPr="00034FD4" w:rsidRDefault="008B4429" w:rsidP="008B4429">
            <w:pPr>
              <w:pStyle w:val="Default"/>
              <w:spacing w:after="120"/>
              <w:rPr>
                <w:rFonts w:ascii="Arial" w:hAnsi="Arial" w:cs="Arial"/>
                <w:sz w:val="22"/>
                <w:szCs w:val="22"/>
                <w:u w:val="single"/>
              </w:rPr>
            </w:pPr>
            <w:r w:rsidRPr="00034FD4">
              <w:rPr>
                <w:rFonts w:ascii="Arial" w:hAnsi="Arial" w:cs="Arial"/>
                <w:sz w:val="22"/>
                <w:szCs w:val="22"/>
                <w:u w:val="single"/>
              </w:rPr>
              <w:t xml:space="preserve">Undiscounted claims provisions established </w:t>
            </w:r>
            <w:r w:rsidR="00055074" w:rsidRPr="00034FD4">
              <w:rPr>
                <w:rFonts w:ascii="Arial" w:hAnsi="Arial" w:cs="Arial"/>
                <w:sz w:val="22"/>
                <w:szCs w:val="22"/>
                <w:u w:val="single"/>
              </w:rPr>
              <w:t xml:space="preserve">when claim </w:t>
            </w:r>
            <w:r w:rsidRPr="00034FD4">
              <w:rPr>
                <w:rFonts w:ascii="Arial" w:hAnsi="Arial" w:cs="Arial"/>
                <w:sz w:val="22"/>
                <w:szCs w:val="22"/>
                <w:u w:val="single"/>
              </w:rPr>
              <w:t>wa</w:t>
            </w:r>
            <w:r w:rsidR="00055074" w:rsidRPr="00034FD4">
              <w:rPr>
                <w:rFonts w:ascii="Arial" w:hAnsi="Arial" w:cs="Arial"/>
                <w:sz w:val="22"/>
                <w:szCs w:val="22"/>
                <w:u w:val="single"/>
              </w:rPr>
              <w:t xml:space="preserve">s designated a non-life annuity claim  </w:t>
            </w:r>
          </w:p>
        </w:tc>
        <w:tc>
          <w:tcPr>
            <w:tcW w:w="7371" w:type="dxa"/>
            <w:shd w:val="clear" w:color="auto" w:fill="auto"/>
          </w:tcPr>
          <w:p w:rsidR="00055074" w:rsidRPr="00034FD4" w:rsidRDefault="008B4429" w:rsidP="00270A50">
            <w:pPr>
              <w:pStyle w:val="Default"/>
              <w:rPr>
                <w:rFonts w:ascii="Arial" w:hAnsi="Arial" w:cs="Arial"/>
                <w:sz w:val="22"/>
                <w:szCs w:val="22"/>
                <w:u w:val="single"/>
              </w:rPr>
            </w:pPr>
            <w:r w:rsidRPr="00034FD4">
              <w:rPr>
                <w:rFonts w:ascii="Arial" w:hAnsi="Arial" w:cs="Arial"/>
                <w:sz w:val="22"/>
                <w:szCs w:val="22"/>
                <w:u w:val="single"/>
              </w:rPr>
              <w:t>The undiscounted claims provision established on the date that the claim was designated a non-life annuity claim.</w:t>
            </w:r>
          </w:p>
          <w:p w:rsidR="008B4429" w:rsidRPr="00034FD4" w:rsidRDefault="008B4429" w:rsidP="00270A50">
            <w:pPr>
              <w:pStyle w:val="Default"/>
              <w:rPr>
                <w:rFonts w:ascii="Arial" w:hAnsi="Arial" w:cs="Arial"/>
                <w:sz w:val="22"/>
                <w:szCs w:val="22"/>
                <w:u w:val="single"/>
              </w:rPr>
            </w:pPr>
          </w:p>
          <w:p w:rsidR="008B4429" w:rsidRPr="00034FD4" w:rsidRDefault="008B4429" w:rsidP="00270A50">
            <w:pPr>
              <w:pStyle w:val="Default"/>
              <w:rPr>
                <w:rFonts w:ascii="Arial" w:hAnsi="Arial" w:cs="Arial"/>
                <w:sz w:val="22"/>
                <w:szCs w:val="22"/>
                <w:u w:val="single"/>
              </w:rPr>
            </w:pPr>
            <w:r w:rsidRPr="00034FD4">
              <w:rPr>
                <w:rFonts w:ascii="Arial" w:hAnsi="Arial" w:cs="Arial"/>
                <w:sz w:val="22"/>
                <w:szCs w:val="22"/>
                <w:u w:val="single"/>
              </w:rPr>
              <w:t xml:space="preserve">This amount is to include any provision for </w:t>
            </w:r>
            <w:r w:rsidR="00A85850" w:rsidRPr="00034FD4">
              <w:rPr>
                <w:rFonts w:ascii="Arial" w:hAnsi="Arial" w:cs="Arial"/>
                <w:sz w:val="22"/>
                <w:szCs w:val="22"/>
                <w:u w:val="single"/>
              </w:rPr>
              <w:t>‘allocated loss adjustment expenses’</w:t>
            </w:r>
            <w:r w:rsidRPr="00034FD4">
              <w:rPr>
                <w:rFonts w:ascii="Arial" w:hAnsi="Arial" w:cs="Arial"/>
                <w:sz w:val="22"/>
                <w:szCs w:val="22"/>
                <w:u w:val="single"/>
              </w:rPr>
              <w:t>.</w:t>
            </w:r>
          </w:p>
        </w:tc>
      </w:tr>
      <w:tr w:rsidR="00055074" w:rsidRPr="00034FD4" w:rsidTr="00055074">
        <w:trPr>
          <w:trHeight w:val="385"/>
        </w:trPr>
        <w:tc>
          <w:tcPr>
            <w:tcW w:w="964" w:type="dxa"/>
            <w:shd w:val="clear" w:color="auto" w:fill="auto"/>
          </w:tcPr>
          <w:p w:rsidR="00055074" w:rsidRPr="00034FD4" w:rsidRDefault="00055074" w:rsidP="00270A50">
            <w:pPr>
              <w:pStyle w:val="Default"/>
              <w:rPr>
                <w:rFonts w:ascii="Arial" w:hAnsi="Arial" w:cs="Arial"/>
                <w:sz w:val="22"/>
                <w:szCs w:val="22"/>
                <w:u w:val="single"/>
              </w:rPr>
            </w:pPr>
            <w:r w:rsidRPr="00034FD4">
              <w:rPr>
                <w:rFonts w:ascii="Arial" w:hAnsi="Arial" w:cs="Arial"/>
                <w:sz w:val="22"/>
                <w:szCs w:val="22"/>
                <w:u w:val="single"/>
              </w:rPr>
              <w:t>C0016/R0040–R0190</w:t>
            </w:r>
          </w:p>
        </w:tc>
        <w:tc>
          <w:tcPr>
            <w:tcW w:w="1730" w:type="dxa"/>
            <w:shd w:val="clear" w:color="auto" w:fill="auto"/>
          </w:tcPr>
          <w:p w:rsidR="00055074" w:rsidRPr="00034FD4" w:rsidRDefault="008B4429" w:rsidP="008B4429">
            <w:pPr>
              <w:pStyle w:val="Default"/>
              <w:spacing w:after="120"/>
              <w:rPr>
                <w:rFonts w:ascii="Arial" w:hAnsi="Arial" w:cs="Arial"/>
                <w:sz w:val="22"/>
                <w:szCs w:val="22"/>
                <w:u w:val="single"/>
              </w:rPr>
            </w:pPr>
            <w:r w:rsidRPr="00034FD4">
              <w:rPr>
                <w:rFonts w:ascii="Arial" w:hAnsi="Arial" w:cs="Arial"/>
                <w:sz w:val="22"/>
                <w:szCs w:val="22"/>
                <w:u w:val="single"/>
              </w:rPr>
              <w:t xml:space="preserve">Best Estimate (discounted basis) </w:t>
            </w:r>
            <w:r w:rsidR="00055074" w:rsidRPr="00034FD4">
              <w:rPr>
                <w:rFonts w:ascii="Arial" w:hAnsi="Arial" w:cs="Arial"/>
                <w:sz w:val="22"/>
                <w:szCs w:val="22"/>
                <w:u w:val="single"/>
              </w:rPr>
              <w:t xml:space="preserve">when claim </w:t>
            </w:r>
            <w:r w:rsidR="00D75034" w:rsidRPr="00034FD4">
              <w:rPr>
                <w:rFonts w:ascii="Arial" w:hAnsi="Arial" w:cs="Arial"/>
                <w:sz w:val="22"/>
                <w:szCs w:val="22"/>
                <w:u w:val="single"/>
              </w:rPr>
              <w:t>wa</w:t>
            </w:r>
            <w:r w:rsidR="00055074" w:rsidRPr="00034FD4">
              <w:rPr>
                <w:rFonts w:ascii="Arial" w:hAnsi="Arial" w:cs="Arial"/>
                <w:sz w:val="22"/>
                <w:szCs w:val="22"/>
                <w:u w:val="single"/>
              </w:rPr>
              <w:t xml:space="preserve">s designated a non-life annuity claim  </w:t>
            </w:r>
          </w:p>
        </w:tc>
        <w:tc>
          <w:tcPr>
            <w:tcW w:w="7371" w:type="dxa"/>
            <w:shd w:val="clear" w:color="auto" w:fill="auto"/>
          </w:tcPr>
          <w:p w:rsidR="00055074" w:rsidRPr="00034FD4" w:rsidRDefault="008B4429" w:rsidP="00270A50">
            <w:pPr>
              <w:pStyle w:val="Default"/>
              <w:rPr>
                <w:rFonts w:ascii="Arial" w:hAnsi="Arial" w:cs="Arial"/>
                <w:sz w:val="22"/>
                <w:szCs w:val="22"/>
                <w:u w:val="single"/>
              </w:rPr>
            </w:pPr>
            <w:r w:rsidRPr="00034FD4">
              <w:rPr>
                <w:rFonts w:ascii="Arial" w:hAnsi="Arial" w:cs="Arial"/>
                <w:sz w:val="22"/>
                <w:szCs w:val="22"/>
                <w:u w:val="single"/>
              </w:rPr>
              <w:t>The discounted amount of the provision reported in column C0015</w:t>
            </w:r>
          </w:p>
        </w:tc>
      </w:tr>
      <w:tr w:rsidR="00055074" w:rsidRPr="00034FD4" w:rsidTr="00055074">
        <w:trPr>
          <w:trHeight w:val="385"/>
        </w:trPr>
        <w:tc>
          <w:tcPr>
            <w:tcW w:w="964" w:type="dxa"/>
            <w:shd w:val="clear" w:color="auto" w:fill="auto"/>
          </w:tcPr>
          <w:p w:rsidR="00055074" w:rsidRPr="00034FD4" w:rsidRDefault="00055074" w:rsidP="00270A50">
            <w:pPr>
              <w:pStyle w:val="Default"/>
              <w:rPr>
                <w:rFonts w:ascii="Arial" w:hAnsi="Arial" w:cs="Arial"/>
                <w:sz w:val="22"/>
                <w:szCs w:val="22"/>
                <w:u w:val="single"/>
              </w:rPr>
            </w:pPr>
            <w:r w:rsidRPr="00034FD4">
              <w:rPr>
                <w:rFonts w:ascii="Arial" w:hAnsi="Arial" w:cs="Arial"/>
                <w:sz w:val="22"/>
                <w:szCs w:val="22"/>
                <w:u w:val="single"/>
              </w:rPr>
              <w:t>C0017/R0040–R0190</w:t>
            </w:r>
          </w:p>
        </w:tc>
        <w:tc>
          <w:tcPr>
            <w:tcW w:w="1730" w:type="dxa"/>
            <w:shd w:val="clear" w:color="auto" w:fill="auto"/>
          </w:tcPr>
          <w:p w:rsidR="00055074" w:rsidRPr="00034FD4" w:rsidRDefault="00055074" w:rsidP="008B4429">
            <w:pPr>
              <w:pStyle w:val="Default"/>
              <w:spacing w:after="120"/>
              <w:rPr>
                <w:rFonts w:ascii="Arial" w:hAnsi="Arial" w:cs="Arial"/>
                <w:sz w:val="22"/>
                <w:szCs w:val="22"/>
                <w:u w:val="single"/>
              </w:rPr>
            </w:pPr>
            <w:r w:rsidRPr="00034FD4">
              <w:rPr>
                <w:rFonts w:ascii="Arial" w:hAnsi="Arial" w:cs="Arial"/>
                <w:sz w:val="22"/>
                <w:szCs w:val="22"/>
                <w:u w:val="single"/>
              </w:rPr>
              <w:t>A</w:t>
            </w:r>
            <w:r w:rsidR="008B4429" w:rsidRPr="00034FD4">
              <w:rPr>
                <w:rFonts w:ascii="Arial" w:hAnsi="Arial" w:cs="Arial"/>
                <w:sz w:val="22"/>
                <w:szCs w:val="22"/>
                <w:u w:val="single"/>
              </w:rPr>
              <w:t xml:space="preserve">mounts </w:t>
            </w:r>
            <w:r w:rsidRPr="00034FD4">
              <w:rPr>
                <w:rFonts w:ascii="Arial" w:hAnsi="Arial" w:cs="Arial"/>
                <w:sz w:val="22"/>
                <w:szCs w:val="22"/>
                <w:u w:val="single"/>
              </w:rPr>
              <w:t xml:space="preserve">paid from when claim </w:t>
            </w:r>
            <w:r w:rsidR="00D75034" w:rsidRPr="00034FD4">
              <w:rPr>
                <w:rFonts w:ascii="Arial" w:hAnsi="Arial" w:cs="Arial"/>
                <w:sz w:val="22"/>
                <w:szCs w:val="22"/>
                <w:u w:val="single"/>
              </w:rPr>
              <w:t>was</w:t>
            </w:r>
            <w:r w:rsidRPr="00034FD4">
              <w:rPr>
                <w:rFonts w:ascii="Arial" w:hAnsi="Arial" w:cs="Arial"/>
                <w:sz w:val="22"/>
                <w:szCs w:val="22"/>
                <w:u w:val="single"/>
              </w:rPr>
              <w:t xml:space="preserve"> designated a non-life annuity claim until start of year N</w:t>
            </w:r>
          </w:p>
        </w:tc>
        <w:tc>
          <w:tcPr>
            <w:tcW w:w="7371" w:type="dxa"/>
            <w:shd w:val="clear" w:color="auto" w:fill="auto"/>
          </w:tcPr>
          <w:p w:rsidR="00055074" w:rsidRPr="00034FD4" w:rsidRDefault="00D75034" w:rsidP="00270A50">
            <w:pPr>
              <w:pStyle w:val="Default"/>
              <w:rPr>
                <w:rFonts w:ascii="Arial" w:hAnsi="Arial" w:cs="Arial"/>
                <w:sz w:val="22"/>
                <w:szCs w:val="22"/>
                <w:u w:val="single"/>
              </w:rPr>
            </w:pPr>
            <w:r w:rsidRPr="00034FD4">
              <w:rPr>
                <w:rFonts w:ascii="Arial" w:hAnsi="Arial" w:cs="Arial"/>
                <w:sz w:val="22"/>
                <w:szCs w:val="22"/>
                <w:u w:val="single"/>
              </w:rPr>
              <w:t>The amount paid between the date when the claim was designated a non-life annuity claim and the start of year N.</w:t>
            </w:r>
          </w:p>
          <w:p w:rsidR="00D75034" w:rsidRPr="00034FD4" w:rsidRDefault="00D75034" w:rsidP="00270A50">
            <w:pPr>
              <w:pStyle w:val="Default"/>
              <w:rPr>
                <w:rFonts w:ascii="Arial" w:hAnsi="Arial" w:cs="Arial"/>
                <w:sz w:val="22"/>
                <w:szCs w:val="22"/>
                <w:u w:val="single"/>
              </w:rPr>
            </w:pPr>
          </w:p>
          <w:p w:rsidR="00D75034" w:rsidRPr="00034FD4" w:rsidRDefault="00D75034" w:rsidP="00270A50">
            <w:pPr>
              <w:pStyle w:val="Default"/>
              <w:rPr>
                <w:rFonts w:ascii="Arial" w:hAnsi="Arial" w:cs="Arial"/>
                <w:sz w:val="22"/>
                <w:szCs w:val="22"/>
                <w:u w:val="single"/>
              </w:rPr>
            </w:pPr>
            <w:r w:rsidRPr="00034FD4">
              <w:rPr>
                <w:rFonts w:ascii="Arial" w:hAnsi="Arial" w:cs="Arial"/>
                <w:sz w:val="22"/>
                <w:szCs w:val="22"/>
                <w:u w:val="single"/>
              </w:rPr>
              <w:t xml:space="preserve">This amount includes annuity benefit payments and </w:t>
            </w:r>
            <w:r w:rsidR="00A85850" w:rsidRPr="00034FD4">
              <w:rPr>
                <w:rFonts w:ascii="Arial" w:hAnsi="Arial" w:cs="Arial"/>
                <w:sz w:val="22"/>
                <w:szCs w:val="22"/>
                <w:u w:val="single"/>
              </w:rPr>
              <w:t>‘allocated loss adjustment expenses’</w:t>
            </w:r>
            <w:r w:rsidRPr="00034FD4">
              <w:rPr>
                <w:rFonts w:ascii="Arial" w:hAnsi="Arial" w:cs="Arial"/>
                <w:sz w:val="22"/>
                <w:szCs w:val="22"/>
                <w:u w:val="single"/>
              </w:rPr>
              <w:t>.</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C0020/R0040–R0190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Undiscounted annuity claims provisions at the start of year N</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Amount of annuity claims best estimate stemming from </w:t>
            </w:r>
            <w:r w:rsidR="00A85850" w:rsidRPr="00034FD4">
              <w:rPr>
                <w:rFonts w:ascii="Arial" w:hAnsi="Arial" w:cs="Arial"/>
                <w:sz w:val="22"/>
                <w:szCs w:val="22"/>
              </w:rPr>
              <w:t>n</w:t>
            </w:r>
            <w:r w:rsidRPr="00034FD4">
              <w:rPr>
                <w:rFonts w:ascii="Arial" w:hAnsi="Arial" w:cs="Arial"/>
                <w:sz w:val="22"/>
                <w:szCs w:val="22"/>
              </w:rPr>
              <w:t>on–</w:t>
            </w:r>
            <w:r w:rsidR="00A85850" w:rsidRPr="00034FD4">
              <w:rPr>
                <w:rFonts w:ascii="Arial" w:hAnsi="Arial" w:cs="Arial"/>
                <w:sz w:val="22"/>
                <w:szCs w:val="22"/>
              </w:rPr>
              <w:t>l</w:t>
            </w:r>
            <w:r w:rsidRPr="00034FD4">
              <w:rPr>
                <w:rFonts w:ascii="Arial" w:hAnsi="Arial" w:cs="Arial"/>
                <w:sz w:val="22"/>
                <w:szCs w:val="22"/>
              </w:rPr>
              <w:t xml:space="preserve">ife Insurance obligations at beginning of year N. </w:t>
            </w:r>
          </w:p>
          <w:p w:rsidR="00055074" w:rsidRPr="00034FD4" w:rsidRDefault="00055074" w:rsidP="00270A50">
            <w:pPr>
              <w:pStyle w:val="Default"/>
              <w:rPr>
                <w:rFonts w:ascii="Arial" w:hAnsi="Arial" w:cs="Arial"/>
                <w:sz w:val="22"/>
                <w:szCs w:val="22"/>
              </w:rPr>
            </w:pP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C0030/R0040–R0190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Undiscounted annuity claims provisions set up during year N</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Total amount of annuity claims provisions stemming from </w:t>
            </w:r>
            <w:r w:rsidR="00A85850" w:rsidRPr="00034FD4">
              <w:rPr>
                <w:rFonts w:ascii="Arial" w:hAnsi="Arial" w:cs="Arial"/>
                <w:sz w:val="22"/>
                <w:szCs w:val="22"/>
              </w:rPr>
              <w:t>n</w:t>
            </w:r>
            <w:r w:rsidRPr="00034FD4">
              <w:rPr>
                <w:rFonts w:ascii="Arial" w:hAnsi="Arial" w:cs="Arial"/>
                <w:sz w:val="22"/>
                <w:szCs w:val="22"/>
              </w:rPr>
              <w:t>on–</w:t>
            </w:r>
            <w:r w:rsidR="00A85850" w:rsidRPr="00034FD4">
              <w:rPr>
                <w:rFonts w:ascii="Arial" w:hAnsi="Arial" w:cs="Arial"/>
                <w:sz w:val="22"/>
                <w:szCs w:val="22"/>
              </w:rPr>
              <w:t>l</w:t>
            </w:r>
            <w:r w:rsidRPr="00034FD4">
              <w:rPr>
                <w:rFonts w:ascii="Arial" w:hAnsi="Arial" w:cs="Arial"/>
                <w:sz w:val="22"/>
                <w:szCs w:val="22"/>
              </w:rPr>
              <w:t xml:space="preserve">ife </w:t>
            </w:r>
            <w:r w:rsidR="00A85850" w:rsidRPr="00034FD4">
              <w:rPr>
                <w:rFonts w:ascii="Arial" w:hAnsi="Arial" w:cs="Arial"/>
                <w:sz w:val="22"/>
                <w:szCs w:val="22"/>
              </w:rPr>
              <w:t>i</w:t>
            </w:r>
            <w:r w:rsidRPr="00034FD4">
              <w:rPr>
                <w:rFonts w:ascii="Arial" w:hAnsi="Arial" w:cs="Arial"/>
                <w:sz w:val="22"/>
                <w:szCs w:val="22"/>
              </w:rPr>
              <w:t>nsurance obligations set up during year N as at the moment they were first set up (</w:t>
            </w:r>
            <w:proofErr w:type="spellStart"/>
            <w:r w:rsidRPr="00034FD4">
              <w:rPr>
                <w:rFonts w:ascii="Arial" w:hAnsi="Arial" w:cs="Arial"/>
                <w:sz w:val="22"/>
                <w:szCs w:val="22"/>
              </w:rPr>
              <w:t>ie</w:t>
            </w:r>
            <w:proofErr w:type="spellEnd"/>
            <w:r w:rsidRPr="00034FD4">
              <w:rPr>
                <w:rFonts w:ascii="Arial" w:hAnsi="Arial" w:cs="Arial"/>
                <w:sz w:val="22"/>
                <w:szCs w:val="22"/>
              </w:rPr>
              <w:t xml:space="preserve">, where assumptions used were for the first time based on life techniques) </w:t>
            </w:r>
          </w:p>
          <w:p w:rsidR="00055074" w:rsidRPr="00034FD4" w:rsidRDefault="00055074" w:rsidP="00270A50">
            <w:pPr>
              <w:pStyle w:val="Default"/>
              <w:rPr>
                <w:rFonts w:ascii="Arial" w:hAnsi="Arial" w:cs="Arial"/>
                <w:sz w:val="22"/>
                <w:szCs w:val="22"/>
              </w:rPr>
            </w:pPr>
          </w:p>
          <w:p w:rsidR="00055074" w:rsidRPr="00034FD4" w:rsidRDefault="00055074" w:rsidP="00A85850">
            <w:pPr>
              <w:pStyle w:val="Default"/>
              <w:spacing w:after="120"/>
              <w:rPr>
                <w:rFonts w:ascii="Arial" w:hAnsi="Arial" w:cs="Arial"/>
                <w:sz w:val="22"/>
                <w:szCs w:val="22"/>
              </w:rPr>
            </w:pPr>
            <w:r w:rsidRPr="00034FD4">
              <w:rPr>
                <w:rFonts w:ascii="Arial" w:hAnsi="Arial" w:cs="Arial"/>
                <w:sz w:val="22"/>
                <w:szCs w:val="22"/>
              </w:rPr>
              <w:t xml:space="preserve">This is a part of technical provisions set up during year N (Net movements between new reserves during year N/release of reserves during year N). </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C0040/R0040–R0190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Annuity payments paid during year N</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Total amount of annuity payments stemming from </w:t>
            </w:r>
            <w:r w:rsidR="00A85850" w:rsidRPr="00034FD4">
              <w:rPr>
                <w:rFonts w:ascii="Arial" w:hAnsi="Arial" w:cs="Arial"/>
                <w:sz w:val="22"/>
                <w:szCs w:val="22"/>
              </w:rPr>
              <w:t>n</w:t>
            </w:r>
            <w:r w:rsidRPr="00034FD4">
              <w:rPr>
                <w:rFonts w:ascii="Arial" w:hAnsi="Arial" w:cs="Arial"/>
                <w:sz w:val="22"/>
                <w:szCs w:val="22"/>
              </w:rPr>
              <w:t>on–</w:t>
            </w:r>
            <w:r w:rsidR="00A85850" w:rsidRPr="00034FD4">
              <w:rPr>
                <w:rFonts w:ascii="Arial" w:hAnsi="Arial" w:cs="Arial"/>
                <w:sz w:val="22"/>
                <w:szCs w:val="22"/>
              </w:rPr>
              <w:t>l</w:t>
            </w:r>
            <w:r w:rsidRPr="00034FD4">
              <w:rPr>
                <w:rFonts w:ascii="Arial" w:hAnsi="Arial" w:cs="Arial"/>
                <w:sz w:val="22"/>
                <w:szCs w:val="22"/>
              </w:rPr>
              <w:t xml:space="preserve">ife </w:t>
            </w:r>
            <w:r w:rsidR="00A85850" w:rsidRPr="00034FD4">
              <w:rPr>
                <w:rFonts w:ascii="Arial" w:hAnsi="Arial" w:cs="Arial"/>
                <w:sz w:val="22"/>
                <w:szCs w:val="22"/>
              </w:rPr>
              <w:t>i</w:t>
            </w:r>
            <w:r w:rsidRPr="00034FD4">
              <w:rPr>
                <w:rFonts w:ascii="Arial" w:hAnsi="Arial" w:cs="Arial"/>
                <w:sz w:val="22"/>
                <w:szCs w:val="22"/>
              </w:rPr>
              <w:t>nsurance obligations made during the calendar year N.</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C0050/R0040–R0190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Undiscounted annuity claims provisions at the end of year N</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Total amount of annuity claims provisions stemming from </w:t>
            </w:r>
            <w:r w:rsidR="00A85850" w:rsidRPr="00034FD4">
              <w:rPr>
                <w:rFonts w:ascii="Arial" w:hAnsi="Arial" w:cs="Arial"/>
                <w:sz w:val="22"/>
                <w:szCs w:val="22"/>
              </w:rPr>
              <w:t>n</w:t>
            </w:r>
            <w:r w:rsidRPr="00034FD4">
              <w:rPr>
                <w:rFonts w:ascii="Arial" w:hAnsi="Arial" w:cs="Arial"/>
                <w:sz w:val="22"/>
                <w:szCs w:val="22"/>
              </w:rPr>
              <w:t>on–</w:t>
            </w:r>
            <w:r w:rsidR="00A85850" w:rsidRPr="00034FD4">
              <w:rPr>
                <w:rFonts w:ascii="Arial" w:hAnsi="Arial" w:cs="Arial"/>
                <w:sz w:val="22"/>
                <w:szCs w:val="22"/>
              </w:rPr>
              <w:t>l</w:t>
            </w:r>
            <w:r w:rsidRPr="00034FD4">
              <w:rPr>
                <w:rFonts w:ascii="Arial" w:hAnsi="Arial" w:cs="Arial"/>
                <w:sz w:val="22"/>
                <w:szCs w:val="22"/>
              </w:rPr>
              <w:t xml:space="preserve">ife </w:t>
            </w:r>
            <w:r w:rsidR="00A85850" w:rsidRPr="00034FD4">
              <w:rPr>
                <w:rFonts w:ascii="Arial" w:hAnsi="Arial" w:cs="Arial"/>
                <w:sz w:val="22"/>
                <w:szCs w:val="22"/>
              </w:rPr>
              <w:t>i</w:t>
            </w:r>
            <w:r w:rsidRPr="00034FD4">
              <w:rPr>
                <w:rFonts w:ascii="Arial" w:hAnsi="Arial" w:cs="Arial"/>
                <w:sz w:val="22"/>
                <w:szCs w:val="22"/>
              </w:rPr>
              <w:t>nsurance obligations at end of year N.</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C0060/R0040–R0190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Number of annuities obligations at the end of year N</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Number of non–life insurance annuity obligations.</w:t>
            </w:r>
          </w:p>
          <w:p w:rsidR="00055074" w:rsidRPr="00034FD4" w:rsidRDefault="00055074" w:rsidP="00270A50">
            <w:pPr>
              <w:pStyle w:val="Default"/>
              <w:rPr>
                <w:rFonts w:ascii="Arial" w:hAnsi="Arial" w:cs="Arial"/>
                <w:sz w:val="22"/>
                <w:szCs w:val="22"/>
              </w:rPr>
            </w:pP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C0070/R0040–R0190</w:t>
            </w:r>
          </w:p>
        </w:tc>
        <w:tc>
          <w:tcPr>
            <w:tcW w:w="1730"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Best Estimate for annuity claims provisions at the end of year N (discounted basis)</w:t>
            </w:r>
          </w:p>
        </w:tc>
        <w:tc>
          <w:tcPr>
            <w:tcW w:w="7371" w:type="dxa"/>
            <w:shd w:val="clear" w:color="auto" w:fill="auto"/>
          </w:tcPr>
          <w:p w:rsidR="00055074" w:rsidRPr="00034FD4" w:rsidRDefault="00055074" w:rsidP="00270A50">
            <w:pPr>
              <w:pStyle w:val="Default"/>
              <w:rPr>
                <w:rFonts w:ascii="Arial" w:hAnsi="Arial" w:cs="Arial"/>
                <w:sz w:val="22"/>
                <w:szCs w:val="22"/>
              </w:rPr>
            </w:pPr>
            <w:r w:rsidRPr="00034FD4">
              <w:rPr>
                <w:rFonts w:ascii="Arial" w:hAnsi="Arial" w:cs="Arial"/>
                <w:sz w:val="22"/>
                <w:szCs w:val="22"/>
              </w:rPr>
              <w:t xml:space="preserve">Best estimate covering annuities stemming from </w:t>
            </w:r>
            <w:r w:rsidR="00A85850" w:rsidRPr="00034FD4">
              <w:rPr>
                <w:rFonts w:ascii="Arial" w:hAnsi="Arial" w:cs="Arial"/>
                <w:sz w:val="22"/>
                <w:szCs w:val="22"/>
              </w:rPr>
              <w:t>n</w:t>
            </w:r>
            <w:r w:rsidRPr="00034FD4">
              <w:rPr>
                <w:rFonts w:ascii="Arial" w:hAnsi="Arial" w:cs="Arial"/>
                <w:sz w:val="22"/>
                <w:szCs w:val="22"/>
              </w:rPr>
              <w:t>on–</w:t>
            </w:r>
            <w:r w:rsidR="00A85850" w:rsidRPr="00034FD4">
              <w:rPr>
                <w:rFonts w:ascii="Arial" w:hAnsi="Arial" w:cs="Arial"/>
                <w:sz w:val="22"/>
                <w:szCs w:val="22"/>
              </w:rPr>
              <w:t>l</w:t>
            </w:r>
            <w:r w:rsidRPr="00034FD4">
              <w:rPr>
                <w:rFonts w:ascii="Arial" w:hAnsi="Arial" w:cs="Arial"/>
                <w:sz w:val="22"/>
                <w:szCs w:val="22"/>
              </w:rPr>
              <w:t xml:space="preserve">ife </w:t>
            </w:r>
            <w:r w:rsidR="00A85850" w:rsidRPr="00034FD4">
              <w:rPr>
                <w:rFonts w:ascii="Arial" w:hAnsi="Arial" w:cs="Arial"/>
                <w:sz w:val="22"/>
                <w:szCs w:val="22"/>
              </w:rPr>
              <w:t>i</w:t>
            </w:r>
            <w:r w:rsidRPr="00034FD4">
              <w:rPr>
                <w:rFonts w:ascii="Arial" w:hAnsi="Arial" w:cs="Arial"/>
                <w:sz w:val="22"/>
                <w:szCs w:val="22"/>
              </w:rPr>
              <w:t xml:space="preserve">nsurance obligations at the end of calendar year N. </w:t>
            </w:r>
          </w:p>
          <w:p w:rsidR="00055074" w:rsidRPr="00034FD4" w:rsidRDefault="00055074" w:rsidP="00270A50">
            <w:pPr>
              <w:pStyle w:val="Default"/>
              <w:rPr>
                <w:rFonts w:ascii="Arial" w:hAnsi="Arial" w:cs="Arial"/>
                <w:sz w:val="22"/>
                <w:szCs w:val="22"/>
              </w:rPr>
            </w:pPr>
          </w:p>
          <w:p w:rsidR="00055074" w:rsidRPr="00034FD4" w:rsidRDefault="00055074" w:rsidP="00270A50">
            <w:pPr>
              <w:pStyle w:val="Default"/>
              <w:rPr>
                <w:rFonts w:ascii="Arial" w:hAnsi="Arial" w:cs="Arial"/>
                <w:sz w:val="22"/>
                <w:szCs w:val="22"/>
              </w:rPr>
            </w:pPr>
            <w:r w:rsidRPr="00034FD4">
              <w:rPr>
                <w:rFonts w:ascii="Arial" w:hAnsi="Arial" w:cs="Arial"/>
                <w:sz w:val="22"/>
                <w:szCs w:val="22"/>
              </w:rPr>
              <w:t>Information should be considered gross of reinsurance.</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C0080/R0040–R0190</w:t>
            </w:r>
          </w:p>
        </w:tc>
        <w:tc>
          <w:tcPr>
            <w:tcW w:w="1730" w:type="dxa"/>
            <w:shd w:val="clear" w:color="auto" w:fill="auto"/>
          </w:tcPr>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Undiscounted development result</w:t>
            </w:r>
          </w:p>
        </w:tc>
        <w:tc>
          <w:tcPr>
            <w:tcW w:w="7371" w:type="dxa"/>
            <w:shd w:val="clear" w:color="auto" w:fill="auto"/>
          </w:tcPr>
          <w:p w:rsidR="00055074" w:rsidRPr="00034FD4" w:rsidRDefault="00055074" w:rsidP="00A85850">
            <w:pPr>
              <w:pStyle w:val="Default"/>
              <w:spacing w:after="120"/>
              <w:rPr>
                <w:rFonts w:ascii="Arial" w:hAnsi="Arial" w:cs="Arial"/>
                <w:strike/>
                <w:sz w:val="22"/>
                <w:szCs w:val="22"/>
              </w:rPr>
            </w:pPr>
            <w:r w:rsidRPr="00034FD4">
              <w:rPr>
                <w:rFonts w:ascii="Arial" w:hAnsi="Arial" w:cs="Arial"/>
                <w:strike/>
                <w:sz w:val="22"/>
                <w:szCs w:val="22"/>
              </w:rPr>
              <w:t>Undiscounted development result calculated as the undiscounted annuity claims provisions at the start of year N, minus annuity payments paid during year N and minus undiscounted annuity claims provisions at the end of year N.</w:t>
            </w:r>
          </w:p>
        </w:tc>
      </w:tr>
      <w:tr w:rsidR="00055074" w:rsidRPr="00034FD4" w:rsidTr="00270A50">
        <w:trPr>
          <w:trHeight w:val="385"/>
        </w:trPr>
        <w:tc>
          <w:tcPr>
            <w:tcW w:w="964" w:type="dxa"/>
            <w:shd w:val="clear" w:color="auto" w:fill="auto"/>
          </w:tcPr>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C0020–C0080/R0200</w:t>
            </w:r>
          </w:p>
        </w:tc>
        <w:tc>
          <w:tcPr>
            <w:tcW w:w="1730" w:type="dxa"/>
            <w:shd w:val="clear" w:color="auto" w:fill="auto"/>
          </w:tcPr>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Total</w:t>
            </w:r>
          </w:p>
        </w:tc>
        <w:tc>
          <w:tcPr>
            <w:tcW w:w="7371" w:type="dxa"/>
            <w:shd w:val="clear" w:color="auto" w:fill="auto"/>
          </w:tcPr>
          <w:p w:rsidR="00055074" w:rsidRPr="00034FD4" w:rsidRDefault="00055074" w:rsidP="00270A50">
            <w:pPr>
              <w:pStyle w:val="Default"/>
              <w:rPr>
                <w:rFonts w:ascii="Arial" w:hAnsi="Arial" w:cs="Arial"/>
                <w:strike/>
                <w:sz w:val="22"/>
                <w:szCs w:val="22"/>
              </w:rPr>
            </w:pPr>
            <w:r w:rsidRPr="00034FD4">
              <w:rPr>
                <w:rFonts w:ascii="Arial" w:hAnsi="Arial" w:cs="Arial"/>
                <w:strike/>
                <w:sz w:val="22"/>
                <w:szCs w:val="22"/>
              </w:rPr>
              <w:t>Total amount of the undiscounted development result for all accident/underwriting years.</w:t>
            </w:r>
          </w:p>
        </w:tc>
      </w:tr>
    </w:tbl>
    <w:p w:rsidR="00055074" w:rsidRPr="00034FD4" w:rsidRDefault="00055074" w:rsidP="00055074">
      <w:pPr>
        <w:rPr>
          <w:rFonts w:cs="Arial"/>
          <w:sz w:val="22"/>
        </w:rPr>
      </w:pPr>
    </w:p>
    <w:p w:rsidR="00BC329A" w:rsidRPr="00034FD4" w:rsidRDefault="00BC329A">
      <w:pPr>
        <w:rPr>
          <w:rFonts w:cs="Arial"/>
          <w:sz w:val="22"/>
        </w:rPr>
      </w:pPr>
    </w:p>
    <w:sectPr w:rsidR="00BC329A" w:rsidRPr="00034FD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69" w:rsidRDefault="003C1C69" w:rsidP="009F2A90">
      <w:pPr>
        <w:spacing w:line="240" w:lineRule="auto"/>
      </w:pPr>
      <w:r>
        <w:separator/>
      </w:r>
    </w:p>
  </w:endnote>
  <w:endnote w:type="continuationSeparator" w:id="0">
    <w:p w:rsidR="003C1C69" w:rsidRDefault="003C1C69" w:rsidP="009F2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69" w:rsidRDefault="003C1C69" w:rsidP="009F2A90">
      <w:pPr>
        <w:spacing w:line="240" w:lineRule="auto"/>
      </w:pPr>
      <w:r>
        <w:separator/>
      </w:r>
    </w:p>
  </w:footnote>
  <w:footnote w:type="continuationSeparator" w:id="0">
    <w:p w:rsidR="003C1C69" w:rsidRDefault="003C1C69" w:rsidP="009F2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90" w:rsidRDefault="009F2A90" w:rsidP="00034FD4">
    <w:pPr>
      <w:pStyle w:val="Header"/>
      <w:tabs>
        <w:tab w:val="left" w:pos="3246"/>
      </w:tabs>
    </w:pPr>
    <w:r>
      <w:rPr>
        <w:noProof/>
      </w:rPr>
      <w:drawing>
        <wp:inline distT="0" distB="0" distL="0" distR="0" wp14:anchorId="5B298DC0" wp14:editId="3898481E">
          <wp:extent cx="3411250" cy="447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11305" cy="513300"/>
                  </a:xfrm>
                  <a:prstGeom prst="rect">
                    <a:avLst/>
                  </a:prstGeom>
                </pic:spPr>
              </pic:pic>
            </a:graphicData>
          </a:graphic>
        </wp:inline>
      </w:drawing>
    </w:r>
    <w:r>
      <w:tab/>
    </w:r>
  </w:p>
  <w:p w:rsidR="00581D12" w:rsidRDefault="00581D12" w:rsidP="00034FD4">
    <w:pPr>
      <w:pStyle w:val="Header"/>
      <w:tabs>
        <w:tab w:val="left" w:pos="3246"/>
      </w:tabs>
    </w:pPr>
  </w:p>
  <w:p w:rsidR="00581D12" w:rsidRDefault="00581D12" w:rsidP="00034FD4">
    <w:pPr>
      <w:pStyle w:val="Header"/>
      <w:tabs>
        <w:tab w:val="left" w:pos="3246"/>
      </w:tabs>
    </w:pPr>
    <w:r w:rsidRPr="002B0BDE">
      <w:rPr>
        <w:rFonts w:ascii="Century Gothic" w:hAnsi="Century Gothic"/>
        <w:b/>
        <w:color w:val="9194A1"/>
        <w:sz w:val="40"/>
      </w:rPr>
      <w:t>Prudential Regulation Authority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74"/>
    <w:rsid w:val="00034FD4"/>
    <w:rsid w:val="00042EBA"/>
    <w:rsid w:val="00055074"/>
    <w:rsid w:val="00062D61"/>
    <w:rsid w:val="000B5BFB"/>
    <w:rsid w:val="001014AA"/>
    <w:rsid w:val="001A781E"/>
    <w:rsid w:val="002A5F49"/>
    <w:rsid w:val="002B5043"/>
    <w:rsid w:val="002F6F76"/>
    <w:rsid w:val="00303B85"/>
    <w:rsid w:val="00311A37"/>
    <w:rsid w:val="00386EF4"/>
    <w:rsid w:val="003C0393"/>
    <w:rsid w:val="003C1C69"/>
    <w:rsid w:val="003F2BF4"/>
    <w:rsid w:val="00442D33"/>
    <w:rsid w:val="00496BD8"/>
    <w:rsid w:val="004A75D3"/>
    <w:rsid w:val="004B5C82"/>
    <w:rsid w:val="00505BDA"/>
    <w:rsid w:val="005079E8"/>
    <w:rsid w:val="00581D12"/>
    <w:rsid w:val="00592A83"/>
    <w:rsid w:val="005957CF"/>
    <w:rsid w:val="005B2285"/>
    <w:rsid w:val="005C7270"/>
    <w:rsid w:val="005E7C22"/>
    <w:rsid w:val="00697A42"/>
    <w:rsid w:val="00705F6C"/>
    <w:rsid w:val="007762EC"/>
    <w:rsid w:val="00781F2C"/>
    <w:rsid w:val="007E01DC"/>
    <w:rsid w:val="007E26C9"/>
    <w:rsid w:val="008B4429"/>
    <w:rsid w:val="008D2F6E"/>
    <w:rsid w:val="008F253D"/>
    <w:rsid w:val="009B5BB3"/>
    <w:rsid w:val="009F2A90"/>
    <w:rsid w:val="00A34A14"/>
    <w:rsid w:val="00A45066"/>
    <w:rsid w:val="00A85850"/>
    <w:rsid w:val="00A959E6"/>
    <w:rsid w:val="00AE215F"/>
    <w:rsid w:val="00BC329A"/>
    <w:rsid w:val="00C03BFA"/>
    <w:rsid w:val="00CA1795"/>
    <w:rsid w:val="00D21AB1"/>
    <w:rsid w:val="00D21F15"/>
    <w:rsid w:val="00D46993"/>
    <w:rsid w:val="00D63E9D"/>
    <w:rsid w:val="00D75034"/>
    <w:rsid w:val="00E171E8"/>
    <w:rsid w:val="00E22995"/>
    <w:rsid w:val="00EA3478"/>
    <w:rsid w:val="00EE67C9"/>
    <w:rsid w:val="00F64BBA"/>
    <w:rsid w:val="00F660C8"/>
    <w:rsid w:val="00FA749F"/>
    <w:rsid w:val="00FB3ADA"/>
    <w:rsid w:val="00FD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A3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55074"/>
    <w:pPr>
      <w:spacing w:after="0" w:line="360" w:lineRule="auto"/>
    </w:pPr>
    <w:rPr>
      <w:rFonts w:ascii="Arial" w:eastAsiaTheme="minorEastAsia" w:hAnsi="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074"/>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9B5BB3"/>
    <w:rPr>
      <w:sz w:val="16"/>
      <w:szCs w:val="16"/>
    </w:rPr>
  </w:style>
  <w:style w:type="paragraph" w:styleId="CommentText">
    <w:name w:val="annotation text"/>
    <w:basedOn w:val="Normal"/>
    <w:link w:val="CommentTextChar"/>
    <w:uiPriority w:val="99"/>
    <w:semiHidden/>
    <w:unhideWhenUsed/>
    <w:rsid w:val="009B5BB3"/>
    <w:pPr>
      <w:spacing w:line="240" w:lineRule="auto"/>
    </w:pPr>
    <w:rPr>
      <w:szCs w:val="20"/>
    </w:rPr>
  </w:style>
  <w:style w:type="character" w:customStyle="1" w:styleId="CommentTextChar">
    <w:name w:val="Comment Text Char"/>
    <w:basedOn w:val="DefaultParagraphFont"/>
    <w:link w:val="CommentText"/>
    <w:uiPriority w:val="99"/>
    <w:semiHidden/>
    <w:rsid w:val="009B5BB3"/>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9B5BB3"/>
    <w:rPr>
      <w:b/>
      <w:bCs/>
    </w:rPr>
  </w:style>
  <w:style w:type="character" w:customStyle="1" w:styleId="CommentSubjectChar">
    <w:name w:val="Comment Subject Char"/>
    <w:basedOn w:val="CommentTextChar"/>
    <w:link w:val="CommentSubject"/>
    <w:uiPriority w:val="99"/>
    <w:semiHidden/>
    <w:rsid w:val="009B5BB3"/>
    <w:rPr>
      <w:rFonts w:ascii="Arial" w:eastAsiaTheme="minorEastAsia" w:hAnsi="Arial"/>
      <w:b/>
      <w:bCs/>
      <w:sz w:val="20"/>
      <w:szCs w:val="20"/>
      <w:lang w:eastAsia="en-GB"/>
    </w:rPr>
  </w:style>
  <w:style w:type="paragraph" w:styleId="BalloonText">
    <w:name w:val="Balloon Text"/>
    <w:basedOn w:val="Normal"/>
    <w:link w:val="BalloonTextChar"/>
    <w:uiPriority w:val="99"/>
    <w:semiHidden/>
    <w:unhideWhenUsed/>
    <w:rsid w:val="009B5B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B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F2A90"/>
    <w:pPr>
      <w:tabs>
        <w:tab w:val="center" w:pos="4513"/>
        <w:tab w:val="right" w:pos="9026"/>
      </w:tabs>
      <w:spacing w:line="240" w:lineRule="auto"/>
    </w:pPr>
  </w:style>
  <w:style w:type="character" w:customStyle="1" w:styleId="HeaderChar">
    <w:name w:val="Header Char"/>
    <w:basedOn w:val="DefaultParagraphFont"/>
    <w:link w:val="Header"/>
    <w:uiPriority w:val="99"/>
    <w:rsid w:val="009F2A90"/>
    <w:rPr>
      <w:rFonts w:ascii="Arial" w:eastAsiaTheme="minorEastAsia" w:hAnsi="Arial"/>
      <w:sz w:val="20"/>
      <w:lang w:eastAsia="en-GB"/>
    </w:rPr>
  </w:style>
  <w:style w:type="paragraph" w:styleId="Footer">
    <w:name w:val="footer"/>
    <w:basedOn w:val="Normal"/>
    <w:link w:val="FooterChar"/>
    <w:uiPriority w:val="99"/>
    <w:unhideWhenUsed/>
    <w:rsid w:val="009F2A90"/>
    <w:pPr>
      <w:tabs>
        <w:tab w:val="center" w:pos="4513"/>
        <w:tab w:val="right" w:pos="9026"/>
      </w:tabs>
      <w:spacing w:line="240" w:lineRule="auto"/>
    </w:pPr>
  </w:style>
  <w:style w:type="character" w:customStyle="1" w:styleId="FooterChar">
    <w:name w:val="Footer Char"/>
    <w:basedOn w:val="DefaultParagraphFont"/>
    <w:link w:val="Footer"/>
    <w:uiPriority w:val="99"/>
    <w:rsid w:val="009F2A90"/>
    <w:rPr>
      <w:rFonts w:ascii="Arial" w:eastAsiaTheme="minorEastAsia" w:hAnsi="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Cobbin, Jon</dc:creator>
  <cp:keywords/>
  <dc:description/>
  <cp:lastModifiedBy/>
  <cp:revision>1</cp:revision>
  <dcterms:created xsi:type="dcterms:W3CDTF">2022-10-31T14:00:00Z</dcterms:created>
  <dcterms:modified xsi:type="dcterms:W3CDTF">2022-10-31T14:00:00Z</dcterms:modified>
</cp:coreProperties>
</file>